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3761" w:rsidRPr="00D53761" w:rsidRDefault="00D53761" w:rsidP="00D53761">
      <w:pPr>
        <w:spacing w:after="0" w:line="240" w:lineRule="auto"/>
        <w:jc w:val="center"/>
        <w:rPr>
          <w:b/>
          <w:i/>
          <w:sz w:val="28"/>
        </w:rPr>
      </w:pPr>
      <w:r>
        <w:rPr>
          <w:noProof/>
        </w:rPr>
        <w:drawing>
          <wp:anchor distT="0" distB="0" distL="114300" distR="114300" simplePos="0" relativeHeight="251660288" behindDoc="0" locked="0" layoutInCell="1" allowOverlap="1" wp14:anchorId="35163EF3" wp14:editId="3179B1FE">
            <wp:simplePos x="0" y="0"/>
            <wp:positionH relativeFrom="column">
              <wp:posOffset>-436907</wp:posOffset>
            </wp:positionH>
            <wp:positionV relativeFrom="paragraph">
              <wp:posOffset>-595878</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6">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D53761">
        <w:rPr>
          <w:b/>
          <w:sz w:val="28"/>
        </w:rPr>
        <w:t>TENNESSEE CAREER AND TECHNICAL EDUCATION TEXTBOOK SCREENING INSTRUMENT,</w:t>
      </w:r>
    </w:p>
    <w:p w:rsidR="00EF5194" w:rsidRPr="00EF5194" w:rsidRDefault="00EF5194" w:rsidP="00EF5194">
      <w:pPr>
        <w:spacing w:after="0" w:line="240" w:lineRule="auto"/>
        <w:jc w:val="center"/>
        <w:rPr>
          <w:b/>
          <w:sz w:val="28"/>
        </w:rPr>
      </w:pPr>
      <w:r w:rsidRPr="00EF5194">
        <w:rPr>
          <w:b/>
          <w:sz w:val="28"/>
        </w:rPr>
        <w:t>FASHION DESIGN PROGRAM OF STUDY</w:t>
      </w:r>
    </w:p>
    <w:p w:rsidR="00EF5194" w:rsidRPr="00EF5194" w:rsidRDefault="00EF5194" w:rsidP="00EF5194">
      <w:pPr>
        <w:spacing w:after="0" w:line="240" w:lineRule="auto"/>
        <w:jc w:val="center"/>
        <w:rPr>
          <w:b/>
          <w:sz w:val="28"/>
        </w:rPr>
      </w:pPr>
      <w:r w:rsidRPr="00EF5194">
        <w:rPr>
          <w:b/>
          <w:sz w:val="28"/>
        </w:rPr>
        <w:t>ARTS, AUDIO/VISUAL TECHNOLOGY, &amp; COMMUNICATION CAREER CLUSTER</w:t>
      </w:r>
    </w:p>
    <w:p w:rsidR="00D53761" w:rsidRPr="00D53761" w:rsidRDefault="00D53761" w:rsidP="00D53761">
      <w:pPr>
        <w:spacing w:after="0" w:line="240" w:lineRule="auto"/>
        <w:jc w:val="center"/>
        <w:rPr>
          <w:b/>
          <w:sz w:val="28"/>
        </w:rPr>
      </w:pPr>
    </w:p>
    <w:tbl>
      <w:tblPr>
        <w:tblStyle w:val="TableGrid"/>
        <w:tblW w:w="0" w:type="auto"/>
        <w:tblLook w:val="04A0" w:firstRow="1" w:lastRow="0" w:firstColumn="1" w:lastColumn="0" w:noHBand="0" w:noVBand="1"/>
      </w:tblPr>
      <w:tblGrid>
        <w:gridCol w:w="12950"/>
      </w:tblGrid>
      <w:tr w:rsidR="00D53761" w:rsidRPr="00D53761" w:rsidTr="008C353D">
        <w:tc>
          <w:tcPr>
            <w:tcW w:w="13176" w:type="dxa"/>
            <w:shd w:val="clear" w:color="auto" w:fill="F2F2F2" w:themeFill="background1" w:themeFillShade="F2"/>
          </w:tcPr>
          <w:p w:rsidR="00D53761" w:rsidRPr="00D53761" w:rsidRDefault="00D53761" w:rsidP="00D53761">
            <w:pPr>
              <w:rPr>
                <w:rFonts w:ascii="Open Sans" w:eastAsia="Times New Roman" w:hAnsi="Open Sans" w:cs="Open Sans"/>
                <w:b/>
                <w:sz w:val="18"/>
                <w:szCs w:val="18"/>
              </w:rPr>
            </w:pPr>
            <w:r w:rsidRPr="00D53761">
              <w:rPr>
                <w:rFonts w:ascii="Open Sans" w:eastAsia="Times New Roman" w:hAnsi="Open Sans" w:cs="Open Sans"/>
                <w:b/>
                <w:sz w:val="18"/>
                <w:szCs w:val="18"/>
              </w:rPr>
              <w:t>BEFORE YOU BEGIN</w:t>
            </w:r>
          </w:p>
        </w:tc>
      </w:tr>
      <w:tr w:rsidR="00D53761" w:rsidRPr="00D53761" w:rsidTr="008C353D">
        <w:tc>
          <w:tcPr>
            <w:tcW w:w="13176" w:type="dxa"/>
          </w:tcPr>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ALIGNMENT TO THE TENNESSEE CAREER AND TECHNICAL EDUCATION STANDARDS: </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Tennessee’s Career and Technical Education Standards (hereafter, “the standards”) represent a significant shift in the definition of student proficiency within career and technical education environments. Evaluators of materials should understand that the standards replace the proficiency frameworks of years past in three major respects: </w:t>
            </w:r>
          </w:p>
          <w:p w:rsidR="00D53761" w:rsidRPr="00D53761" w:rsidRDefault="00D53761" w:rsidP="00D53761">
            <w:pPr>
              <w:rPr>
                <w:rFonts w:ascii="Open Sans" w:eastAsia="Times New Roman" w:hAnsi="Open Sans" w:cs="Open Sans"/>
                <w:sz w:val="18"/>
                <w:szCs w:val="18"/>
              </w:rPr>
            </w:pP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A shift to clear, specific, and measurable expectations for student learning. The standards articulate deep knowledge and skill attainment, departing from the competency-based structure of years past.</w:t>
            </w:r>
          </w:p>
          <w:p w:rsidR="000E3170"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 xml:space="preserve">Increased focus on rigor in literacy and mathematics within technical contexts. </w:t>
            </w: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Sequential progression of knowledge and skills within and across courses. The new standards build on each other both within course content and across course levels, arranged within programs of study that culminate in capstone and/or work-based learning experiences for students.</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Evaluators of materials must be well versed in the standards for the course(s) aligned to the materials in question, how the content fits into the progressions in the content standards, and the expectations of the standards with respect to conceptual understanding, fluency, and technical application</w:t>
            </w:r>
            <w:r w:rsidR="006A1A1A">
              <w:rPr>
                <w:rFonts w:ascii="Open Sans" w:eastAsia="Times New Roman" w:hAnsi="Open Sans" w:cs="Open Sans"/>
                <w:sz w:val="18"/>
                <w:szCs w:val="18"/>
              </w:rPr>
              <w:t xml:space="preserve">. </w:t>
            </w:r>
            <w:r w:rsidRPr="00D53761">
              <w:rPr>
                <w:rFonts w:ascii="Open Sans" w:eastAsia="Times New Roman" w:hAnsi="Open Sans" w:cs="Open Sans"/>
                <w:sz w:val="18"/>
                <w:szCs w:val="18"/>
              </w:rPr>
              <w:t xml:space="preserve">Aligned courses in the </w:t>
            </w:r>
            <w:r w:rsidR="00E45E61">
              <w:rPr>
                <w:rFonts w:ascii="Open Sans" w:eastAsia="Times New Roman" w:hAnsi="Open Sans" w:cs="Open Sans"/>
                <w:sz w:val="18"/>
                <w:szCs w:val="18"/>
              </w:rPr>
              <w:t>Business Management &amp; Administration</w:t>
            </w:r>
            <w:r w:rsidR="00871B0B">
              <w:rPr>
                <w:rFonts w:ascii="Open Sans" w:eastAsia="Times New Roman" w:hAnsi="Open Sans" w:cs="Open Sans"/>
                <w:sz w:val="18"/>
                <w:szCs w:val="18"/>
              </w:rPr>
              <w:t xml:space="preserve"> Career Cluster</w:t>
            </w:r>
            <w:r w:rsidRPr="00D53761">
              <w:rPr>
                <w:rFonts w:ascii="Open Sans" w:eastAsia="Times New Roman" w:hAnsi="Open Sans" w:cs="Open Sans"/>
                <w:sz w:val="18"/>
                <w:szCs w:val="18"/>
              </w:rPr>
              <w:t>:</w:t>
            </w:r>
          </w:p>
          <w:p w:rsidR="00D53761" w:rsidRPr="00D53761" w:rsidRDefault="00D53761" w:rsidP="00D53761">
            <w:pPr>
              <w:rPr>
                <w:rFonts w:ascii="Open Sans" w:eastAsia="Times New Roman" w:hAnsi="Open Sans" w:cs="Open Sans"/>
                <w:b/>
                <w:sz w:val="18"/>
                <w:szCs w:val="18"/>
              </w:rPr>
            </w:pPr>
          </w:p>
          <w:p w:rsidR="00E70F53" w:rsidRPr="00E70F53" w:rsidRDefault="00E70F53" w:rsidP="00E70F53">
            <w:pPr>
              <w:spacing w:after="200" w:line="276" w:lineRule="auto"/>
              <w:rPr>
                <w:rFonts w:ascii="Open Sans" w:eastAsia="Times New Roman" w:hAnsi="Open Sans" w:cs="Open Sans"/>
                <w:b/>
                <w:sz w:val="18"/>
                <w:szCs w:val="18"/>
              </w:rPr>
            </w:pPr>
            <w:r w:rsidRPr="00E70F53">
              <w:rPr>
                <w:rFonts w:ascii="Open Sans" w:eastAsia="Times New Roman" w:hAnsi="Open Sans" w:cs="Open Sans"/>
                <w:b/>
                <w:sz w:val="18"/>
                <w:szCs w:val="18"/>
              </w:rPr>
              <w:t xml:space="preserve">FOUNDATIONS OF FASHION DESIGN (6120)                                      </w:t>
            </w:r>
          </w:p>
          <w:p w:rsidR="00E70F53" w:rsidRPr="00E70F53" w:rsidRDefault="00E70F53" w:rsidP="00E70F53">
            <w:pPr>
              <w:spacing w:after="200" w:line="276" w:lineRule="auto"/>
              <w:rPr>
                <w:rFonts w:ascii="Open Sans" w:eastAsia="Times New Roman" w:hAnsi="Open Sans" w:cs="Open Sans"/>
                <w:b/>
                <w:sz w:val="18"/>
                <w:szCs w:val="18"/>
              </w:rPr>
            </w:pPr>
            <w:r w:rsidRPr="00E70F53">
              <w:rPr>
                <w:rFonts w:ascii="Open Sans" w:eastAsia="Times New Roman" w:hAnsi="Open Sans" w:cs="Open Sans"/>
                <w:b/>
                <w:sz w:val="18"/>
                <w:szCs w:val="18"/>
              </w:rPr>
              <w:t>FASHION DESIGN (6008)</w:t>
            </w:r>
          </w:p>
          <w:p w:rsidR="00D53761" w:rsidRPr="00D53761" w:rsidRDefault="00E70F53" w:rsidP="00E70F53">
            <w:pPr>
              <w:rPr>
                <w:rFonts w:ascii="Open Sans" w:eastAsia="Times New Roman" w:hAnsi="Open Sans" w:cs="Open Sans"/>
                <w:i/>
                <w:sz w:val="18"/>
                <w:szCs w:val="18"/>
              </w:rPr>
            </w:pPr>
            <w:r w:rsidRPr="00E70F53">
              <w:rPr>
                <w:rFonts w:ascii="Open Sans" w:eastAsia="Times New Roman" w:hAnsi="Open Sans" w:cs="Open Sans"/>
                <w:b/>
                <w:sz w:val="18"/>
                <w:szCs w:val="18"/>
              </w:rPr>
              <w:t>ADVANCED FASHION DESIGN (6009</w:t>
            </w:r>
            <w:r>
              <w:rPr>
                <w:rFonts w:ascii="Open Sans" w:eastAsia="Times New Roman" w:hAnsi="Open Sans" w:cs="Open Sans"/>
                <w:b/>
                <w:sz w:val="18"/>
                <w:szCs w:val="18"/>
              </w:rPr>
              <w:t>)</w:t>
            </w:r>
          </w:p>
          <w:p w:rsidR="00D53761" w:rsidRPr="00D53761" w:rsidRDefault="00D53761" w:rsidP="00D53761">
            <w:pPr>
              <w:rPr>
                <w:rFonts w:ascii="Open Sans" w:eastAsia="Times New Roman" w:hAnsi="Open Sans" w:cs="Open Sans"/>
                <w:b/>
                <w:i/>
                <w:sz w:val="18"/>
                <w:szCs w:val="18"/>
              </w:rPr>
            </w:pPr>
          </w:p>
        </w:tc>
      </w:tr>
      <w:tr w:rsidR="004079F5" w:rsidRPr="00D53761" w:rsidTr="008C353D">
        <w:tc>
          <w:tcPr>
            <w:tcW w:w="13176" w:type="dxa"/>
          </w:tcPr>
          <w:p w:rsidR="004079F5" w:rsidRPr="00D53761" w:rsidRDefault="004079F5" w:rsidP="00D53761">
            <w:pPr>
              <w:rPr>
                <w:rFonts w:ascii="Open Sans" w:eastAsia="Times New Roman" w:hAnsi="Open Sans" w:cs="Open Sans"/>
                <w:sz w:val="18"/>
                <w:szCs w:val="18"/>
              </w:rPr>
            </w:pPr>
          </w:p>
        </w:tc>
      </w:tr>
    </w:tbl>
    <w:tbl>
      <w:tblPr>
        <w:tblStyle w:val="TableGrid"/>
        <w:tblpPr w:leftFromText="180" w:rightFromText="180" w:vertAnchor="page" w:horzAnchor="margin" w:tblpY="7614"/>
        <w:tblW w:w="0" w:type="auto"/>
        <w:tblLook w:val="04A0" w:firstRow="1" w:lastRow="0" w:firstColumn="1" w:lastColumn="0" w:noHBand="0" w:noVBand="1"/>
      </w:tblPr>
      <w:tblGrid>
        <w:gridCol w:w="12950"/>
      </w:tblGrid>
      <w:tr w:rsidR="00981326" w:rsidRPr="00D53761" w:rsidTr="00981326">
        <w:tc>
          <w:tcPr>
            <w:tcW w:w="13158" w:type="dxa"/>
            <w:shd w:val="clear" w:color="auto" w:fill="F2F2F2" w:themeFill="background1" w:themeFillShade="F2"/>
          </w:tcPr>
          <w:p w:rsidR="00981326" w:rsidRPr="00D53761" w:rsidRDefault="00981326" w:rsidP="00981326">
            <w:pPr>
              <w:tabs>
                <w:tab w:val="left" w:pos="2280"/>
              </w:tabs>
              <w:rPr>
                <w:rFonts w:ascii="Open Sans" w:hAnsi="Open Sans" w:cs="Open Sans"/>
                <w:b/>
                <w:sz w:val="18"/>
                <w:szCs w:val="18"/>
              </w:rPr>
            </w:pPr>
            <w:r w:rsidRPr="00D53761">
              <w:rPr>
                <w:rFonts w:ascii="Open Sans" w:hAnsi="Open Sans" w:cs="Open Sans"/>
                <w:b/>
                <w:sz w:val="18"/>
                <w:szCs w:val="18"/>
              </w:rPr>
              <w:lastRenderedPageBreak/>
              <w:t>REVIEW</w:t>
            </w:r>
            <w:r w:rsidRPr="00D53761">
              <w:rPr>
                <w:rFonts w:ascii="Open Sans" w:hAnsi="Open Sans" w:cs="Open Sans"/>
                <w:b/>
                <w:sz w:val="18"/>
                <w:szCs w:val="18"/>
              </w:rPr>
              <w:tab/>
            </w:r>
          </w:p>
        </w:tc>
      </w:tr>
      <w:tr w:rsidR="00981326" w:rsidRPr="00D53761" w:rsidTr="00981326">
        <w:tc>
          <w:tcPr>
            <w:tcW w:w="13158" w:type="dxa"/>
          </w:tcPr>
          <w:p w:rsidR="00981326" w:rsidRPr="00D53761" w:rsidRDefault="00981326" w:rsidP="00981326">
            <w:pPr>
              <w:rPr>
                <w:rFonts w:ascii="Open Sans" w:hAnsi="Open Sans" w:cs="Open Sans"/>
                <w:sz w:val="18"/>
                <w:szCs w:val="18"/>
              </w:rPr>
            </w:pPr>
          </w:p>
          <w:p w:rsidR="00981326" w:rsidRPr="00D53761" w:rsidRDefault="00981326" w:rsidP="00981326">
            <w:pPr>
              <w:rPr>
                <w:rFonts w:ascii="Open Sans" w:hAnsi="Open Sans" w:cs="Open Sans"/>
                <w:sz w:val="18"/>
                <w:szCs w:val="18"/>
              </w:rPr>
            </w:pPr>
            <w:r w:rsidRPr="00D53761">
              <w:rPr>
                <w:rFonts w:ascii="Open Sans" w:hAnsi="Open Sans" w:cs="Open Sans"/>
                <w:sz w:val="18"/>
                <w:szCs w:val="18"/>
              </w:rPr>
              <w:t>Evaluator: ___</w:t>
            </w:r>
            <w:r w:rsidR="000E3170">
              <w:rPr>
                <w:rFonts w:ascii="Open Sans" w:hAnsi="Open Sans" w:cs="Open Sans"/>
                <w:sz w:val="18"/>
                <w:szCs w:val="18"/>
              </w:rPr>
              <w:t>_______________</w:t>
            </w:r>
            <w:r w:rsidRPr="00D53761">
              <w:rPr>
                <w:rFonts w:ascii="Open Sans" w:hAnsi="Open Sans" w:cs="Open Sans"/>
                <w:sz w:val="18"/>
                <w:szCs w:val="18"/>
              </w:rPr>
              <w:t>____ Book: ___</w:t>
            </w:r>
            <w:r w:rsidR="000E3170">
              <w:rPr>
                <w:rFonts w:ascii="Open Sans" w:hAnsi="Open Sans" w:cs="Open Sans"/>
                <w:sz w:val="18"/>
                <w:szCs w:val="18"/>
              </w:rPr>
              <w:t>_________________</w:t>
            </w:r>
            <w:r w:rsidRPr="00D53761">
              <w:rPr>
                <w:rFonts w:ascii="Open Sans" w:hAnsi="Open Sans" w:cs="Open Sans"/>
                <w:sz w:val="18"/>
                <w:szCs w:val="18"/>
              </w:rPr>
              <w:t xml:space="preserve"> Level(s)/Course(s): __</w:t>
            </w:r>
            <w:r w:rsidR="000E3170">
              <w:rPr>
                <w:rFonts w:ascii="Open Sans" w:hAnsi="Open Sans" w:cs="Open Sans"/>
                <w:sz w:val="18"/>
                <w:szCs w:val="18"/>
              </w:rPr>
              <w:t>__________________________________________</w:t>
            </w:r>
          </w:p>
          <w:p w:rsidR="00981326" w:rsidRPr="00D53761" w:rsidRDefault="00981326" w:rsidP="00981326">
            <w:pPr>
              <w:rPr>
                <w:rFonts w:ascii="Open Sans" w:hAnsi="Open Sans" w:cs="Open Sans"/>
                <w:sz w:val="18"/>
                <w:szCs w:val="18"/>
              </w:rPr>
            </w:pPr>
          </w:p>
          <w:p w:rsidR="00981326" w:rsidRPr="00D53761" w:rsidRDefault="00981326" w:rsidP="00981326">
            <w:pPr>
              <w:rPr>
                <w:rFonts w:ascii="Open Sans" w:hAnsi="Open Sans" w:cs="Open Sans"/>
                <w:sz w:val="18"/>
                <w:szCs w:val="18"/>
              </w:rPr>
            </w:pPr>
            <w:r w:rsidRPr="00D53761">
              <w:rPr>
                <w:rFonts w:ascii="Open Sans" w:hAnsi="Open Sans" w:cs="Open Sans"/>
                <w:sz w:val="18"/>
                <w:szCs w:val="18"/>
              </w:rPr>
              <w:t>Publisher: _____</w:t>
            </w:r>
            <w:r w:rsidR="000E3170">
              <w:rPr>
                <w:rFonts w:ascii="Open Sans" w:hAnsi="Open Sans" w:cs="Open Sans"/>
                <w:sz w:val="18"/>
                <w:szCs w:val="18"/>
              </w:rPr>
              <w:t>_______________</w:t>
            </w:r>
            <w:r w:rsidRPr="00D53761">
              <w:rPr>
                <w:rFonts w:ascii="Open Sans" w:hAnsi="Open Sans" w:cs="Open Sans"/>
                <w:sz w:val="18"/>
                <w:szCs w:val="18"/>
              </w:rPr>
              <w:t>___________ Year: _____</w:t>
            </w:r>
            <w:r w:rsidR="000E3170">
              <w:rPr>
                <w:rFonts w:ascii="Open Sans" w:hAnsi="Open Sans" w:cs="Open Sans"/>
                <w:sz w:val="18"/>
                <w:szCs w:val="18"/>
              </w:rPr>
              <w:t>________________________</w:t>
            </w:r>
          </w:p>
          <w:p w:rsidR="00981326" w:rsidRPr="00D53761" w:rsidRDefault="00981326" w:rsidP="00981326">
            <w:pPr>
              <w:rPr>
                <w:rFonts w:ascii="Open Sans" w:hAnsi="Open Sans" w:cs="Open Sans"/>
                <w:sz w:val="18"/>
                <w:szCs w:val="18"/>
              </w:rPr>
            </w:pPr>
          </w:p>
        </w:tc>
      </w:tr>
    </w:tbl>
    <w:tbl>
      <w:tblPr>
        <w:tblStyle w:val="TableGrid"/>
        <w:tblpPr w:leftFromText="180" w:rightFromText="180" w:vertAnchor="page" w:horzAnchor="margin" w:tblpY="1127"/>
        <w:tblW w:w="0" w:type="auto"/>
        <w:tblLook w:val="04A0" w:firstRow="1" w:lastRow="0" w:firstColumn="1" w:lastColumn="0" w:noHBand="0" w:noVBand="1"/>
      </w:tblPr>
      <w:tblGrid>
        <w:gridCol w:w="12950"/>
      </w:tblGrid>
      <w:tr w:rsidR="001A0833" w:rsidRPr="00D53761" w:rsidTr="001A0833">
        <w:tc>
          <w:tcPr>
            <w:tcW w:w="13158" w:type="dxa"/>
            <w:shd w:val="clear" w:color="auto" w:fill="F2F2F2" w:themeFill="background1" w:themeFillShade="F2"/>
          </w:tcPr>
          <w:p w:rsidR="001A0833" w:rsidRPr="00D53761" w:rsidRDefault="001A0833" w:rsidP="001A0833">
            <w:pPr>
              <w:rPr>
                <w:rFonts w:ascii="Open Sans" w:eastAsia="Times New Roman" w:hAnsi="Open Sans" w:cs="Open Sans"/>
                <w:b/>
                <w:sz w:val="18"/>
                <w:szCs w:val="18"/>
              </w:rPr>
            </w:pPr>
            <w:r w:rsidRPr="00D53761">
              <w:rPr>
                <w:rFonts w:ascii="Open Sans" w:eastAsia="Times New Roman" w:hAnsi="Open Sans" w:cs="Open Sans"/>
                <w:b/>
                <w:sz w:val="18"/>
                <w:szCs w:val="18"/>
              </w:rPr>
              <w:t>STATEMENT OF STUDENT PROFICIENCY</w:t>
            </w:r>
          </w:p>
        </w:tc>
      </w:tr>
      <w:tr w:rsidR="001A0833" w:rsidRPr="00D53761" w:rsidTr="00911CDD">
        <w:trPr>
          <w:trHeight w:val="1896"/>
        </w:trPr>
        <w:tc>
          <w:tcPr>
            <w:tcW w:w="13158" w:type="dxa"/>
          </w:tcPr>
          <w:p w:rsidR="001A0833" w:rsidRPr="00D53761" w:rsidRDefault="001A0833" w:rsidP="001A0833">
            <w:pPr>
              <w:rPr>
                <w:rFonts w:ascii="Open Sans" w:eastAsia="Times New Roman" w:hAnsi="Open Sans" w:cs="Open Sans"/>
                <w:sz w:val="20"/>
                <w:szCs w:val="20"/>
              </w:rPr>
            </w:pPr>
          </w:p>
          <w:p w:rsidR="00E70F53" w:rsidRPr="00E70F53" w:rsidRDefault="00E70F53" w:rsidP="00E70F53">
            <w:pPr>
              <w:spacing w:after="200" w:line="276" w:lineRule="auto"/>
              <w:rPr>
                <w:rFonts w:ascii="Open Sans" w:hAnsi="Open Sans" w:cs="Open Sans"/>
                <w:sz w:val="18"/>
                <w:szCs w:val="18"/>
              </w:rPr>
            </w:pPr>
            <w:r w:rsidRPr="00E70F53">
              <w:rPr>
                <w:rFonts w:ascii="Open Sans" w:hAnsi="Open Sans" w:cs="Open Sans"/>
                <w:sz w:val="18"/>
                <w:szCs w:val="18"/>
              </w:rPr>
              <w:t xml:space="preserve">The Fashion Design Program of Study designed to prepare students for further education and careers in the fashion industry. Through exposure to crucial business activities such as project management and product promotion, students will acquire advanced skills related to business professionalism, ethics, policies, and communication in the fashion industry. In addition, students complete a capstone project during which they will create artifacts to include in a professional portfolio. Upon completion of this course, proficient students will have artifacts of original fashion designs in a portfolio and will understand basic project management skills. </w:t>
            </w:r>
          </w:p>
          <w:p w:rsidR="001A0833" w:rsidRPr="00D53761" w:rsidRDefault="001A0833" w:rsidP="001A0833">
            <w:pPr>
              <w:rPr>
                <w:rFonts w:ascii="Open Sans" w:eastAsia="Times New Roman" w:hAnsi="Open Sans" w:cs="Open Sans"/>
                <w:sz w:val="18"/>
                <w:szCs w:val="18"/>
              </w:rPr>
            </w:pPr>
          </w:p>
          <w:p w:rsidR="001A0833" w:rsidRPr="00D53761" w:rsidRDefault="001A0833" w:rsidP="001A0833">
            <w:pPr>
              <w:rPr>
                <w:rFonts w:ascii="Open Sans" w:eastAsia="Times New Roman" w:hAnsi="Open Sans" w:cs="Open Sans"/>
                <w:i/>
                <w:sz w:val="18"/>
                <w:szCs w:val="18"/>
              </w:rPr>
            </w:pPr>
            <w:r w:rsidRPr="00D53761">
              <w:rPr>
                <w:rFonts w:ascii="Open Sans" w:eastAsia="Times New Roman" w:hAnsi="Open Sans" w:cs="Open Sans"/>
                <w:sz w:val="18"/>
                <w:szCs w:val="18"/>
              </w:rPr>
              <w:t xml:space="preserve">Note to reviewers: </w:t>
            </w:r>
            <w:r w:rsidRPr="00D53761">
              <w:rPr>
                <w:rFonts w:ascii="Open Sans" w:eastAsia="Times New Roman" w:hAnsi="Open Sans" w:cs="Open Sans"/>
                <w:i/>
                <w:sz w:val="18"/>
                <w:szCs w:val="18"/>
              </w:rPr>
              <w:t xml:space="preserve">All materials reviewed as part of this application </w:t>
            </w:r>
            <w:r w:rsidRPr="00D53761">
              <w:rPr>
                <w:rFonts w:ascii="Open Sans" w:eastAsia="Times New Roman" w:hAnsi="Open Sans" w:cs="Open Sans"/>
                <w:i/>
                <w:sz w:val="18"/>
                <w:szCs w:val="18"/>
                <w:u w:val="single"/>
              </w:rPr>
              <w:t>must</w:t>
            </w:r>
            <w:r w:rsidRPr="00D53761">
              <w:rPr>
                <w:rFonts w:ascii="Open Sans" w:eastAsia="Times New Roman" w:hAnsi="Open Sans" w:cs="Open Sans"/>
                <w:i/>
                <w:sz w:val="18"/>
                <w:szCs w:val="18"/>
              </w:rPr>
              <w:t xml:space="preserve"> align to the statement of student proficiency provided above.</w:t>
            </w:r>
          </w:p>
          <w:p w:rsidR="001A0833" w:rsidRPr="00D53761" w:rsidRDefault="001A0833" w:rsidP="001A0833">
            <w:pPr>
              <w:rPr>
                <w:rFonts w:ascii="Open Sans" w:hAnsi="Open Sans" w:cs="Open Sans"/>
                <w:sz w:val="20"/>
                <w:szCs w:val="20"/>
              </w:rPr>
            </w:pPr>
          </w:p>
        </w:tc>
      </w:tr>
    </w:tbl>
    <w:tbl>
      <w:tblPr>
        <w:tblStyle w:val="TableGrid"/>
        <w:tblpPr w:leftFromText="180" w:rightFromText="180" w:vertAnchor="page" w:horzAnchor="margin" w:tblpY="3570"/>
        <w:tblW w:w="0" w:type="auto"/>
        <w:tblLook w:val="04A0" w:firstRow="1" w:lastRow="0" w:firstColumn="1" w:lastColumn="0" w:noHBand="0" w:noVBand="1"/>
      </w:tblPr>
      <w:tblGrid>
        <w:gridCol w:w="12950"/>
      </w:tblGrid>
      <w:tr w:rsidR="00911CDD" w:rsidRPr="00D53761" w:rsidTr="00911CDD">
        <w:tc>
          <w:tcPr>
            <w:tcW w:w="13158" w:type="dxa"/>
            <w:shd w:val="clear" w:color="auto" w:fill="F2F2F2" w:themeFill="background1" w:themeFillShade="F2"/>
          </w:tcPr>
          <w:p w:rsidR="00911CDD" w:rsidRPr="00D53761" w:rsidRDefault="00911CDD" w:rsidP="00911CDD">
            <w:pPr>
              <w:rPr>
                <w:rFonts w:ascii="Open Sans" w:eastAsia="Times New Roman" w:hAnsi="Open Sans" w:cs="Open Sans"/>
                <w:b/>
                <w:sz w:val="18"/>
                <w:szCs w:val="18"/>
              </w:rPr>
            </w:pPr>
            <w:r w:rsidRPr="00D53761">
              <w:rPr>
                <w:rFonts w:ascii="Open Sans" w:eastAsia="Times New Roman" w:hAnsi="Open Sans" w:cs="Open Sans"/>
                <w:b/>
                <w:sz w:val="18"/>
                <w:szCs w:val="18"/>
              </w:rPr>
              <w:t>ORGANIZATION OF THIS DOCUMENT</w:t>
            </w:r>
          </w:p>
        </w:tc>
      </w:tr>
      <w:tr w:rsidR="00911CDD" w:rsidRPr="00D53761" w:rsidTr="00911CDD">
        <w:tc>
          <w:tcPr>
            <w:tcW w:w="13158" w:type="dxa"/>
          </w:tcPr>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 NON-NEGOTIABLE ALIGNMENT CRITERIA</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All submissions must meet all of the non-negotiable criteria for each course before passing on to Section II. </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ADDITIONAL ALIGNMENT CRITERIA AND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includes additional criteria for alignment to the standards as well as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SECTION III: FOCUS AREA </w:t>
            </w:r>
            <w:r w:rsidRPr="00D53761">
              <w:rPr>
                <w:rFonts w:ascii="Open Sans" w:eastAsia="Times New Roman" w:hAnsi="Open Sans" w:cs="Open Sans"/>
                <w:i/>
                <w:sz w:val="18"/>
                <w:szCs w:val="18"/>
              </w:rPr>
              <w:t>(optional)</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III allows reviewers to capture qualitative observations on an additional area of focus, if presented in the materials.</w:t>
            </w:r>
          </w:p>
          <w:p w:rsidR="00911CDD" w:rsidRPr="00D53761" w:rsidRDefault="00911CDD" w:rsidP="00911CDD">
            <w:pPr>
              <w:rPr>
                <w:rFonts w:ascii="Open Sans" w:eastAsia="Times New Roman" w:hAnsi="Open Sans" w:cs="Open Sans"/>
                <w:sz w:val="18"/>
                <w:szCs w:val="18"/>
              </w:rPr>
            </w:pPr>
          </w:p>
        </w:tc>
      </w:tr>
    </w:tbl>
    <w:p w:rsidR="00D53761" w:rsidRPr="00D53761" w:rsidRDefault="00D53761" w:rsidP="00D53761">
      <w:pPr>
        <w:rPr>
          <w:rFonts w:ascii="Open Sans" w:hAnsi="Open Sans" w:cs="Open Sans"/>
          <w:sz w:val="20"/>
          <w:szCs w:val="20"/>
        </w:rPr>
      </w:pPr>
    </w:p>
    <w:p w:rsidR="00D53761" w:rsidRPr="00D53761" w:rsidRDefault="00D53761" w:rsidP="00D53761">
      <w:pPr>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tbl>
      <w:tblPr>
        <w:tblStyle w:val="TableGrid"/>
        <w:tblpPr w:leftFromText="180" w:rightFromText="180" w:vertAnchor="text" w:horzAnchor="margin" w:tblpXSpec="center" w:tblpY="-412"/>
        <w:tblW w:w="14109" w:type="dxa"/>
        <w:tblLook w:val="04A0" w:firstRow="1" w:lastRow="0" w:firstColumn="1" w:lastColumn="0" w:noHBand="0" w:noVBand="1"/>
      </w:tblPr>
      <w:tblGrid>
        <w:gridCol w:w="10548"/>
        <w:gridCol w:w="3561"/>
      </w:tblGrid>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SECTION I(1):</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FOCUS:</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Students and teachers using the materials as designed devote the majority of time in each level to the course standards.*</w:t>
            </w:r>
          </w:p>
        </w:tc>
      </w:tr>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981326">
        <w:trPr>
          <w:trHeight w:val="4153"/>
        </w:trPr>
        <w:tc>
          <w:tcPr>
            <w:tcW w:w="14109" w:type="dxa"/>
            <w:gridSpan w:val="2"/>
          </w:tcPr>
          <w:tbl>
            <w:tblPr>
              <w:tblStyle w:val="TableGrid1"/>
              <w:tblpPr w:leftFromText="180" w:rightFromText="180" w:vertAnchor="page" w:horzAnchor="margin" w:tblpY="134"/>
              <w:tblOverlap w:val="never"/>
              <w:tblW w:w="4992" w:type="pct"/>
              <w:tblLook w:val="04A0" w:firstRow="1" w:lastRow="0" w:firstColumn="1" w:lastColumn="0" w:noHBand="0" w:noVBand="1"/>
            </w:tblPr>
            <w:tblGrid>
              <w:gridCol w:w="10407"/>
              <w:gridCol w:w="1738"/>
              <w:gridCol w:w="1716"/>
            </w:tblGrid>
            <w:tr w:rsidR="00981326" w:rsidRPr="00D53761" w:rsidTr="007E6B27">
              <w:trPr>
                <w:trHeight w:val="1007"/>
              </w:trPr>
              <w:tc>
                <w:tcPr>
                  <w:tcW w:w="3754" w:type="pct"/>
                  <w:shd w:val="clear" w:color="auto" w:fill="F2F2F2" w:themeFill="background1" w:themeFillShade="F2"/>
                  <w:vAlign w:val="center"/>
                </w:tcPr>
                <w:p w:rsidR="00981326" w:rsidRPr="00D53761" w:rsidRDefault="00981326" w:rsidP="0043492C">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In any single course level, materials are designed where there is 80%** ali</w:t>
                  </w:r>
                  <w:r w:rsidR="0043492C">
                    <w:rPr>
                      <w:rFonts w:ascii="Open Sans" w:hAnsi="Open Sans" w:cs="Open Sans"/>
                      <w:sz w:val="20"/>
                      <w:szCs w:val="20"/>
                    </w:rPr>
                    <w:t>gnment to the course standards</w:t>
                  </w:r>
                  <w:r w:rsidRPr="00D53761">
                    <w:rPr>
                      <w:rFonts w:ascii="Open Sans" w:hAnsi="Open Sans" w:cs="Open Sans"/>
                      <w:sz w:val="20"/>
                      <w:szCs w:val="20"/>
                    </w:rPr>
                    <w:t>.</w:t>
                  </w:r>
                </w:p>
              </w:tc>
              <w:tc>
                <w:tcPr>
                  <w:tcW w:w="627"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rsidTr="007E6B27">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All materials are appropriate for the designated course level, both in terms of content and in terms of language. For materials spanning multiple course levels and/or grade bands, content is presented at the appropriate grain size (i.e., level of detail) commensurate to expectations in the standard.</w:t>
                  </w:r>
                </w:p>
              </w:tc>
              <w:tc>
                <w:tcPr>
                  <w:tcW w:w="627" w:type="pct"/>
                  <w:shd w:val="clear" w:color="auto" w:fill="F2F2F2" w:themeFill="background1" w:themeFillShade="F2"/>
                  <w:vAlign w:val="center"/>
                </w:tcPr>
                <w:p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w:t>
                  </w:r>
                  <w:r w:rsidR="00D11A14">
                    <w:rPr>
                      <w:rFonts w:ascii="Open Sans" w:hAnsi="Open Sans" w:cs="Open Sans"/>
                      <w:b/>
                      <w:sz w:val="20"/>
                      <w:szCs w:val="20"/>
                    </w:rPr>
                    <w:t>___</w:t>
                  </w:r>
                </w:p>
              </w:tc>
              <w:tc>
                <w:tcPr>
                  <w:tcW w:w="619"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7E6B27">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 xml:space="preserve">Materials focus equally on the </w:t>
                  </w:r>
                  <w:r w:rsidRPr="00D53761">
                    <w:rPr>
                      <w:rFonts w:ascii="Open Sans" w:hAnsi="Open Sans" w:cs="Open Sans"/>
                      <w:i/>
                      <w:sz w:val="20"/>
                      <w:szCs w:val="20"/>
                    </w:rPr>
                    <w:t>conceptual knowledge</w:t>
                  </w:r>
                  <w:r w:rsidRPr="00D53761">
                    <w:rPr>
                      <w:rFonts w:ascii="Open Sans" w:hAnsi="Open Sans" w:cs="Open Sans"/>
                      <w:sz w:val="20"/>
                      <w:szCs w:val="20"/>
                    </w:rPr>
                    <w:t xml:space="preserve"> as well as the </w:t>
                  </w:r>
                  <w:r w:rsidRPr="00D53761">
                    <w:rPr>
                      <w:rFonts w:ascii="Open Sans" w:hAnsi="Open Sans" w:cs="Open Sans"/>
                      <w:i/>
                      <w:sz w:val="20"/>
                      <w:szCs w:val="20"/>
                    </w:rPr>
                    <w:t>technical skill</w:t>
                  </w:r>
                  <w:r w:rsidRPr="00D53761">
                    <w:rPr>
                      <w:rFonts w:ascii="Open Sans" w:hAnsi="Open Sans" w:cs="Open Sans"/>
                      <w:sz w:val="20"/>
                      <w:szCs w:val="20"/>
                    </w:rPr>
                    <w:t xml:space="preserve"> outlined in the standards.</w:t>
                  </w:r>
                </w:p>
              </w:tc>
              <w:tc>
                <w:tcPr>
                  <w:tcW w:w="627" w:type="pct"/>
                  <w:shd w:val="clear" w:color="auto" w:fill="F2F2F2" w:themeFill="background1" w:themeFillShade="F2"/>
                  <w:vAlign w:val="center"/>
                </w:tcPr>
                <w:p w:rsidR="00981326" w:rsidRPr="00D53761" w:rsidRDefault="00981326" w:rsidP="00642569">
                  <w:pPr>
                    <w:keepNext/>
                    <w:jc w:val="center"/>
                    <w:outlineLvl w:val="0"/>
                    <w:rPr>
                      <w:rFonts w:ascii="Open Sans" w:hAnsi="Open Sans" w:cs="Open Sans"/>
                      <w:b/>
                      <w:sz w:val="20"/>
                      <w:szCs w:val="20"/>
                    </w:rPr>
                  </w:pPr>
                  <w:r w:rsidRPr="00D53761">
                    <w:rPr>
                      <w:rFonts w:ascii="Open Sans" w:hAnsi="Open Sans" w:cs="Open Sans"/>
                      <w:b/>
                      <w:sz w:val="20"/>
                      <w:szCs w:val="20"/>
                    </w:rPr>
                    <w:t>Yes _</w:t>
                  </w:r>
                  <w:r w:rsidR="00642569">
                    <w:rPr>
                      <w:rFonts w:ascii="Open Sans" w:hAnsi="Open Sans" w:cs="Open Sans"/>
                      <w:b/>
                      <w:sz w:val="20"/>
                      <w:szCs w:val="20"/>
                    </w:rPr>
                    <w:t>_</w:t>
                  </w:r>
                  <w:r w:rsidRPr="00D53761">
                    <w:rPr>
                      <w:rFonts w:ascii="Open Sans" w:hAnsi="Open Sans" w:cs="Open Sans"/>
                      <w:b/>
                      <w:sz w:val="20"/>
                      <w:szCs w:val="20"/>
                    </w:rPr>
                    <w:t>_</w:t>
                  </w:r>
                  <w:r w:rsidR="00D11A14">
                    <w:rPr>
                      <w:rFonts w:ascii="Open Sans" w:hAnsi="Open Sans" w:cs="Open Sans"/>
                      <w:b/>
                      <w:sz w:val="20"/>
                      <w:szCs w:val="20"/>
                    </w:rPr>
                    <w:t>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w:t>
                  </w:r>
                  <w:r w:rsidR="00D11A14">
                    <w:rPr>
                      <w:rFonts w:ascii="Open Sans" w:hAnsi="Open Sans" w:cs="Open Sans"/>
                      <w:b/>
                      <w:sz w:val="20"/>
                      <w:szCs w:val="20"/>
                    </w:rPr>
                    <w:t>_</w:t>
                  </w:r>
                  <w:r w:rsidRPr="00D53761">
                    <w:rPr>
                      <w:rFonts w:ascii="Open Sans" w:hAnsi="Open Sans" w:cs="Open Sans"/>
                      <w:b/>
                      <w:sz w:val="20"/>
                      <w:szCs w:val="20"/>
                    </w:rPr>
                    <w:t>___</w:t>
                  </w:r>
                </w:p>
              </w:tc>
            </w:tr>
            <w:tr w:rsidR="00981326" w:rsidRPr="00D53761" w:rsidTr="007E6B27">
              <w:trPr>
                <w:trHeight w:val="890"/>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Topics do not deviate from the content outlined in the course standards. Topics may go “above and beyond” stated learning expectations, but not in a manner that distracts from the focus on specific knowledge and skills as determined by the standards.</w:t>
                  </w:r>
                </w:p>
              </w:tc>
              <w:tc>
                <w:tcPr>
                  <w:tcW w:w="627" w:type="pct"/>
                  <w:shd w:val="clear" w:color="auto" w:fill="F2F2F2" w:themeFill="background1" w:themeFillShade="F2"/>
                  <w:vAlign w:val="center"/>
                </w:tcPr>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w:t>
                  </w:r>
                  <w:r w:rsidR="00D11A14">
                    <w:rPr>
                      <w:rFonts w:ascii="Open Sans" w:hAnsi="Open Sans" w:cs="Open Sans"/>
                      <w:b/>
                      <w:sz w:val="20"/>
                      <w:szCs w:val="20"/>
                    </w:rPr>
                    <w:t>_</w:t>
                  </w:r>
                  <w:r w:rsidRPr="00D53761">
                    <w:rPr>
                      <w:rFonts w:ascii="Open Sans" w:hAnsi="Open Sans" w:cs="Open Sans"/>
                      <w:b/>
                      <w:sz w:val="20"/>
                      <w:szCs w:val="20"/>
                    </w:rPr>
                    <w:t>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981326">
        <w:trPr>
          <w:trHeight w:val="1075"/>
        </w:trPr>
        <w:tc>
          <w:tcPr>
            <w:tcW w:w="10548"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Tennessee Standards, materials for each level must attend to all four indicators of Focus. All four indicators must be marked Yes.</w:t>
            </w:r>
          </w:p>
        </w:tc>
        <w:tc>
          <w:tcPr>
            <w:tcW w:w="3561"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_____     No __</w:t>
            </w:r>
            <w:r w:rsidR="00D11A14">
              <w:rPr>
                <w:rFonts w:ascii="Open Sans" w:hAnsi="Open Sans" w:cs="Open Sans"/>
                <w:b/>
                <w:sz w:val="20"/>
                <w:szCs w:val="20"/>
              </w:rPr>
              <w:t>_</w:t>
            </w:r>
            <w:bookmarkStart w:id="0" w:name="_GoBack"/>
            <w:bookmarkEnd w:id="0"/>
            <w:r w:rsidRPr="00D53761">
              <w:rPr>
                <w:rFonts w:ascii="Open Sans" w:hAnsi="Open Sans" w:cs="Open Sans"/>
                <w:b/>
                <w:sz w:val="20"/>
                <w:szCs w:val="20"/>
              </w:rPr>
              <w:t>__</w:t>
            </w:r>
          </w:p>
        </w:tc>
      </w:tr>
      <w:tr w:rsidR="00981326" w:rsidRPr="00D53761" w:rsidTr="00981326">
        <w:trPr>
          <w:trHeight w:val="1612"/>
        </w:trPr>
        <w:tc>
          <w:tcPr>
            <w:tcW w:w="14109" w:type="dxa"/>
            <w:gridSpan w:val="2"/>
          </w:tcPr>
          <w:p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rsidR="0011573F" w:rsidRDefault="0011573F" w:rsidP="00981326">
            <w:pPr>
              <w:rPr>
                <w:rFonts w:ascii="Open Sans" w:hAnsi="Open Sans" w:cs="Open Sans"/>
                <w:b/>
                <w:sz w:val="20"/>
                <w:szCs w:val="20"/>
              </w:rPr>
            </w:pPr>
          </w:p>
          <w:p w:rsidR="0011573F" w:rsidRPr="00642569" w:rsidRDefault="00642569" w:rsidP="00981326">
            <w:pPr>
              <w:rPr>
                <w:rFonts w:ascii="Open Sans" w:hAnsi="Open Sans" w:cs="Open Sans"/>
                <w:sz w:val="20"/>
                <w:szCs w:val="20"/>
              </w:rPr>
            </w:pPr>
            <w:r>
              <w:rPr>
                <w:rFonts w:ascii="Open Sans" w:hAnsi="Open Sans" w:cs="Open Sans"/>
                <w:sz w:val="20"/>
                <w:szCs w:val="20"/>
              </w:rPr>
              <w:t>This textbook does not meet the mandatory 80 percent alignment to course standards in Business Communications.</w:t>
            </w:r>
          </w:p>
        </w:tc>
      </w:tr>
    </w:tbl>
    <w:p w:rsidR="00D53761" w:rsidRPr="00D53761" w:rsidRDefault="00D53761" w:rsidP="00D53761">
      <w:pPr>
        <w:spacing w:after="0" w:line="240" w:lineRule="auto"/>
        <w:rPr>
          <w:rFonts w:ascii="Open Sans" w:eastAsia="Times New Roman" w:hAnsi="Open Sans" w:cs="Open Sans"/>
          <w:sz w:val="16"/>
          <w:szCs w:val="16"/>
        </w:rPr>
      </w:pPr>
      <w:r w:rsidRPr="00D53761">
        <w:rPr>
          <w:rFonts w:ascii="Open Sans" w:eastAsia="Times New Roman" w:hAnsi="Open Sans" w:cs="Open Sans"/>
          <w:sz w:val="16"/>
          <w:szCs w:val="16"/>
        </w:rPr>
        <w:t xml:space="preserve">*For the purposes of this document, Tennessee CTE students are considered to be enrolled in course “levels” (i.e., Level 1, Level 2, Level 3, and Level 4) due to variation in the </w:t>
      </w:r>
      <w:r w:rsidRPr="00D53761">
        <w:rPr>
          <w:rFonts w:ascii="Open Sans" w:eastAsia="Times New Roman" w:hAnsi="Open Sans" w:cs="Open Sans"/>
          <w:i/>
          <w:sz w:val="16"/>
          <w:szCs w:val="16"/>
        </w:rPr>
        <w:t xml:space="preserve">grade </w:t>
      </w:r>
      <w:r w:rsidRPr="00D53761">
        <w:rPr>
          <w:rFonts w:ascii="Open Sans" w:eastAsia="Times New Roman" w:hAnsi="Open Sans" w:cs="Open Sans"/>
          <w:sz w:val="16"/>
          <w:szCs w:val="16"/>
        </w:rPr>
        <w:t xml:space="preserve">level at which students may take a course. For example, a tenth-grade student may be enrolled in a Level 1 course. For this reason, reviewers are asked to evaluate materials on the basis of their alignment to particular </w:t>
      </w:r>
      <w:r w:rsidRPr="00D53761">
        <w:rPr>
          <w:rFonts w:ascii="Open Sans" w:eastAsia="Times New Roman" w:hAnsi="Open Sans" w:cs="Open Sans"/>
          <w:i/>
          <w:sz w:val="16"/>
          <w:szCs w:val="16"/>
        </w:rPr>
        <w:t>course levels</w:t>
      </w:r>
      <w:r w:rsidRPr="00D53761">
        <w:rPr>
          <w:rFonts w:ascii="Open Sans" w:eastAsia="Times New Roman" w:hAnsi="Open Sans" w:cs="Open Sans"/>
          <w:sz w:val="16"/>
          <w:szCs w:val="16"/>
        </w:rPr>
        <w:t xml:space="preserve">, not </w:t>
      </w:r>
      <w:r w:rsidRPr="00D53761">
        <w:rPr>
          <w:rFonts w:ascii="Open Sans" w:eastAsia="Times New Roman" w:hAnsi="Open Sans" w:cs="Open Sans"/>
          <w:i/>
          <w:sz w:val="16"/>
          <w:szCs w:val="16"/>
        </w:rPr>
        <w:t>grade</w:t>
      </w:r>
      <w:r w:rsidRPr="00D53761">
        <w:rPr>
          <w:rFonts w:ascii="Open Sans" w:eastAsia="Times New Roman" w:hAnsi="Open Sans" w:cs="Open Sans"/>
          <w:sz w:val="16"/>
          <w:szCs w:val="16"/>
        </w:rPr>
        <w:t xml:space="preserve"> </w:t>
      </w:r>
      <w:r w:rsidRPr="00D53761">
        <w:rPr>
          <w:rFonts w:ascii="Open Sans" w:eastAsia="Times New Roman" w:hAnsi="Open Sans" w:cs="Open Sans"/>
          <w:i/>
          <w:sz w:val="16"/>
          <w:szCs w:val="16"/>
        </w:rPr>
        <w:t>levels</w:t>
      </w:r>
      <w:r w:rsidRPr="00D53761">
        <w:rPr>
          <w:rFonts w:ascii="Open Sans" w:eastAsia="Times New Roman" w:hAnsi="Open Sans" w:cs="Open Sans"/>
          <w:sz w:val="16"/>
          <w:szCs w:val="16"/>
        </w:rPr>
        <w:t xml:space="preserve"> or </w:t>
      </w:r>
      <w:r w:rsidRPr="00D53761">
        <w:rPr>
          <w:rFonts w:ascii="Open Sans" w:eastAsia="Times New Roman" w:hAnsi="Open Sans" w:cs="Open Sans"/>
          <w:i/>
          <w:sz w:val="16"/>
          <w:szCs w:val="16"/>
        </w:rPr>
        <w:t>grade bands</w:t>
      </w:r>
      <w:r w:rsidRPr="00D53761">
        <w:rPr>
          <w:rFonts w:ascii="Open Sans" w:eastAsia="Times New Roman" w:hAnsi="Open Sans" w:cs="Open Sans"/>
          <w:sz w:val="16"/>
          <w:szCs w:val="16"/>
        </w:rPr>
        <w:t>.</w:t>
      </w:r>
    </w:p>
    <w:p w:rsidR="00D53761" w:rsidRPr="00D53761" w:rsidRDefault="00D53761" w:rsidP="00D53761">
      <w:pPr>
        <w:spacing w:after="0" w:line="240" w:lineRule="auto"/>
        <w:rPr>
          <w:rFonts w:ascii="Open Sans" w:eastAsia="Times New Roman" w:hAnsi="Open Sans" w:cs="Open Sans"/>
          <w:sz w:val="20"/>
          <w:szCs w:val="20"/>
        </w:rPr>
      </w:pPr>
      <w:r w:rsidRPr="00D53761">
        <w:rPr>
          <w:rFonts w:ascii="Open Sans" w:eastAsia="Times New Roman" w:hAnsi="Open Sans" w:cs="Open Sans"/>
          <w:color w:val="000000"/>
          <w:sz w:val="16"/>
          <w:szCs w:val="16"/>
        </w:rPr>
        <w:lastRenderedPageBreak/>
        <w:t>**</w:t>
      </w:r>
      <w:r w:rsidRPr="00D53761">
        <w:rPr>
          <w:rFonts w:ascii="Open Sans" w:eastAsia="Times New Roman" w:hAnsi="Open Sans" w:cs="Open Sans"/>
          <w:color w:val="000000"/>
          <w:sz w:val="16"/>
          <w:szCs w:val="16"/>
          <w:u w:val="single"/>
        </w:rPr>
        <w:t>This percentage is a guide. Reviewers should not attempt to compute percentages based on counting pages or counting lessons</w:t>
      </w:r>
      <w:r w:rsidRPr="00D53761">
        <w:rPr>
          <w:rFonts w:ascii="Open Sans" w:eastAsia="Times New Roman" w:hAnsi="Open Sans" w:cs="Open Sans"/>
          <w:color w:val="000000"/>
          <w:sz w:val="16"/>
          <w:szCs w:val="16"/>
        </w:rPr>
        <w:t>.</w:t>
      </w:r>
      <w:r w:rsidRPr="00D53761">
        <w:rPr>
          <w:rFonts w:ascii="Open Sans" w:eastAsia="Times New Roman" w:hAnsi="Open Sans" w:cs="Open Sans"/>
          <w:b/>
          <w:color w:val="000000"/>
          <w:sz w:val="16"/>
          <w:szCs w:val="16"/>
        </w:rPr>
        <w:t xml:space="preserve"> </w:t>
      </w:r>
      <w:r w:rsidRPr="00D53761">
        <w:rPr>
          <w:rFonts w:ascii="Open Sans" w:eastAsia="Times New Roman" w:hAnsi="Open Sans" w:cs="Open Sans"/>
          <w:color w:val="000000"/>
          <w:sz w:val="16"/>
          <w:szCs w:val="16"/>
        </w:rPr>
        <w:t xml:space="preserve">Reviewers </w:t>
      </w:r>
      <w:r w:rsidRPr="00D53761">
        <w:rPr>
          <w:rFonts w:ascii="Open Sans" w:eastAsia="Times New Roman" w:hAnsi="Open Sans" w:cs="Open Sans"/>
          <w:sz w:val="16"/>
          <w:szCs w:val="16"/>
        </w:rPr>
        <w:t>will use their professional judgment to determine how students are meant to spend their time to determine focus and provide evidence for their decision</w:t>
      </w:r>
      <w:r w:rsidRPr="00D53761">
        <w:rPr>
          <w:rFonts w:ascii="Open Sans" w:eastAsia="Times New Roman" w:hAnsi="Open Sans" w:cs="Open Sans"/>
          <w:sz w:val="20"/>
          <w:szCs w:val="20"/>
        </w:rPr>
        <w:t>.</w:t>
      </w:r>
    </w:p>
    <w:tbl>
      <w:tblPr>
        <w:tblStyle w:val="TableGrid"/>
        <w:tblpPr w:leftFromText="180" w:rightFromText="180" w:vertAnchor="text" w:horzAnchor="margin" w:tblpXSpec="center" w:tblpY="-474"/>
        <w:tblW w:w="13883" w:type="dxa"/>
        <w:tblLook w:val="04A0" w:firstRow="1" w:lastRow="0" w:firstColumn="1" w:lastColumn="0" w:noHBand="0" w:noVBand="1"/>
      </w:tblPr>
      <w:tblGrid>
        <w:gridCol w:w="10350"/>
        <w:gridCol w:w="3533"/>
      </w:tblGrid>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SECTION I(2):</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RIGOR:</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Each level’s instructional materials reflect high expectations for all students. They follow faithfully the level of rigor intended in the standards and support student learning through high-quality presentation of content and challenging application.</w:t>
            </w:r>
          </w:p>
        </w:tc>
      </w:tr>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421523">
        <w:trPr>
          <w:trHeight w:val="6406"/>
        </w:trPr>
        <w:tc>
          <w:tcPr>
            <w:tcW w:w="13883" w:type="dxa"/>
            <w:gridSpan w:val="2"/>
          </w:tcPr>
          <w:p w:rsidR="00981326" w:rsidRPr="00D53761" w:rsidRDefault="00981326" w:rsidP="00981326">
            <w:pPr>
              <w:rPr>
                <w:rFonts w:ascii="Open Sans" w:hAnsi="Open Sans" w:cs="Open Sans"/>
                <w:sz w:val="20"/>
                <w:szCs w:val="20"/>
              </w:rPr>
            </w:pPr>
          </w:p>
          <w:tbl>
            <w:tblPr>
              <w:tblStyle w:val="TableGrid"/>
              <w:tblW w:w="13630" w:type="dxa"/>
              <w:tblInd w:w="27" w:type="dxa"/>
              <w:tblLook w:val="04A0" w:firstRow="1" w:lastRow="0" w:firstColumn="1" w:lastColumn="0" w:noHBand="0" w:noVBand="1"/>
            </w:tblPr>
            <w:tblGrid>
              <w:gridCol w:w="10210"/>
              <w:gridCol w:w="1710"/>
              <w:gridCol w:w="1710"/>
            </w:tblGrid>
            <w:tr w:rsidR="00981326" w:rsidRPr="00D53761" w:rsidTr="00711D00">
              <w:trPr>
                <w:trHeight w:val="1304"/>
              </w:trPr>
              <w:tc>
                <w:tcPr>
                  <w:tcW w:w="10210" w:type="dxa"/>
                  <w:shd w:val="clear" w:color="auto" w:fill="F2F2F2" w:themeFill="background1" w:themeFillShade="F2"/>
                  <w:vAlign w:val="center"/>
                </w:tcPr>
                <w:p w:rsidR="00981326" w:rsidRPr="00D53761" w:rsidRDefault="00981326" w:rsidP="00D11A14">
                  <w:pPr>
                    <w:framePr w:hSpace="180" w:wrap="around" w:vAnchor="text" w:hAnchor="margin" w:xAlign="center" w:y="-474"/>
                    <w:numPr>
                      <w:ilvl w:val="0"/>
                      <w:numId w:val="3"/>
                    </w:numPr>
                    <w:ind w:left="472"/>
                    <w:contextualSpacing/>
                    <w:rPr>
                      <w:rFonts w:ascii="Open Sans" w:hAnsi="Open Sans" w:cs="Open Sans"/>
                      <w:sz w:val="20"/>
                      <w:szCs w:val="20"/>
                    </w:rPr>
                  </w:pPr>
                  <w:r w:rsidRPr="00D53761">
                    <w:rPr>
                      <w:rFonts w:ascii="Open Sans" w:hAnsi="Open Sans" w:cs="Open Sans"/>
                      <w:sz w:val="20"/>
                      <w:szCs w:val="20"/>
                    </w:rPr>
                    <w:t>Materials effectively meet the level of rigor intended in the standards.</w:t>
                  </w:r>
                </w:p>
              </w:tc>
              <w:tc>
                <w:tcPr>
                  <w:tcW w:w="1710" w:type="dxa"/>
                  <w:shd w:val="clear" w:color="auto" w:fill="F2F2F2" w:themeFill="background1" w:themeFillShade="F2"/>
                  <w:vAlign w:val="center"/>
                </w:tcPr>
                <w:p w:rsidR="00981326" w:rsidRPr="00D53761" w:rsidRDefault="00981326" w:rsidP="00D11A14">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D11A14">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711D00">
              <w:trPr>
                <w:trHeight w:val="1250"/>
              </w:trPr>
              <w:tc>
                <w:tcPr>
                  <w:tcW w:w="10210" w:type="dxa"/>
                  <w:shd w:val="clear" w:color="auto" w:fill="F2F2F2" w:themeFill="background1" w:themeFillShade="F2"/>
                  <w:vAlign w:val="center"/>
                </w:tcPr>
                <w:p w:rsidR="00981326" w:rsidRPr="00D53761" w:rsidRDefault="00981326" w:rsidP="00D11A14">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High-quality problems and questions designed to invite exploration and support conceptual understanding are included throughout. A variety of problems, both conceptual and technical, enable students to connect course content and transfer understandings to new situations.</w:t>
                  </w:r>
                </w:p>
              </w:tc>
              <w:tc>
                <w:tcPr>
                  <w:tcW w:w="1710" w:type="dxa"/>
                  <w:shd w:val="clear" w:color="auto" w:fill="F2F2F2" w:themeFill="background1" w:themeFillShade="F2"/>
                  <w:vAlign w:val="center"/>
                </w:tcPr>
                <w:p w:rsidR="00981326" w:rsidRPr="00D53761" w:rsidRDefault="00981326" w:rsidP="00D11A14">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D11A14">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711D00">
              <w:trPr>
                <w:trHeight w:val="1250"/>
              </w:trPr>
              <w:tc>
                <w:tcPr>
                  <w:tcW w:w="10210" w:type="dxa"/>
                  <w:shd w:val="clear" w:color="auto" w:fill="F2F2F2" w:themeFill="background1" w:themeFillShade="F2"/>
                  <w:vAlign w:val="center"/>
                </w:tcPr>
                <w:p w:rsidR="00981326" w:rsidRPr="00D53761" w:rsidRDefault="00981326" w:rsidP="00D11A14">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 xml:space="preserve">All materials reinforce literacy and mathematics instruction in career and technical education environments. Texts are of an appropriately challenging Lexile level; mathematics problems push students to apply quantitative reasoning to specific technical situations. </w:t>
                  </w:r>
                </w:p>
              </w:tc>
              <w:tc>
                <w:tcPr>
                  <w:tcW w:w="1710" w:type="dxa"/>
                  <w:shd w:val="clear" w:color="auto" w:fill="F2F2F2" w:themeFill="background1" w:themeFillShade="F2"/>
                  <w:vAlign w:val="center"/>
                </w:tcPr>
                <w:p w:rsidR="00981326" w:rsidRPr="00D53761" w:rsidRDefault="00981326" w:rsidP="00D11A14">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D11A14">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711D00">
              <w:trPr>
                <w:trHeight w:val="1160"/>
              </w:trPr>
              <w:tc>
                <w:tcPr>
                  <w:tcW w:w="10210" w:type="dxa"/>
                  <w:shd w:val="clear" w:color="auto" w:fill="F2F2F2" w:themeFill="background1" w:themeFillShade="F2"/>
                  <w:vAlign w:val="center"/>
                </w:tcPr>
                <w:p w:rsidR="00981326" w:rsidRPr="00D53761" w:rsidRDefault="00981326" w:rsidP="00D11A14">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Materials support the development of fluency, including regular opportunities to practice knowledge and skills, appropriately apply tools, and use technology.</w:t>
                  </w:r>
                </w:p>
              </w:tc>
              <w:tc>
                <w:tcPr>
                  <w:tcW w:w="1710" w:type="dxa"/>
                  <w:shd w:val="clear" w:color="auto" w:fill="F2F2F2" w:themeFill="background1" w:themeFillShade="F2"/>
                  <w:vAlign w:val="center"/>
                </w:tcPr>
                <w:p w:rsidR="00981326" w:rsidRPr="00D53761" w:rsidRDefault="00981326" w:rsidP="00D11A14">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D11A14">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711D00">
              <w:trPr>
                <w:trHeight w:val="1349"/>
              </w:trPr>
              <w:tc>
                <w:tcPr>
                  <w:tcW w:w="10210" w:type="dxa"/>
                  <w:shd w:val="clear" w:color="auto" w:fill="F2F2F2" w:themeFill="background1" w:themeFillShade="F2"/>
                  <w:vAlign w:val="center"/>
                </w:tcPr>
                <w:p w:rsidR="00981326" w:rsidRPr="00D53761" w:rsidRDefault="00981326" w:rsidP="00D11A14">
                  <w:pPr>
                    <w:framePr w:hSpace="180" w:wrap="around" w:vAnchor="text" w:hAnchor="margin" w:xAlign="center" w:y="-474"/>
                    <w:numPr>
                      <w:ilvl w:val="0"/>
                      <w:numId w:val="3"/>
                    </w:numPr>
                    <w:autoSpaceDE w:val="0"/>
                    <w:autoSpaceDN w:val="0"/>
                    <w:adjustRightInd w:val="0"/>
                    <w:ind w:left="472"/>
                    <w:rPr>
                      <w:rFonts w:ascii="Open Sans" w:hAnsi="Open Sans" w:cs="Open Sans"/>
                      <w:color w:val="000000"/>
                      <w:sz w:val="20"/>
                      <w:szCs w:val="20"/>
                    </w:rPr>
                  </w:pPr>
                  <w:r w:rsidRPr="00D53761">
                    <w:rPr>
                      <w:rFonts w:ascii="Open Sans" w:hAnsi="Open Sans" w:cs="Open Sans"/>
                      <w:color w:val="000000"/>
                      <w:sz w:val="20"/>
                      <w:szCs w:val="20"/>
                    </w:rPr>
                    <w:t>Domain-specific vocabulary and industry terminology are frequently used to explain topics, or to make connections to key workplace activities.</w:t>
                  </w:r>
                </w:p>
              </w:tc>
              <w:tc>
                <w:tcPr>
                  <w:tcW w:w="1710" w:type="dxa"/>
                  <w:shd w:val="clear" w:color="auto" w:fill="F2F2F2" w:themeFill="background1" w:themeFillShade="F2"/>
                  <w:vAlign w:val="center"/>
                </w:tcPr>
                <w:p w:rsidR="00981326" w:rsidRPr="00D53761" w:rsidRDefault="00981326" w:rsidP="00D11A14">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D11A14">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421523">
        <w:trPr>
          <w:trHeight w:val="925"/>
        </w:trPr>
        <w:tc>
          <w:tcPr>
            <w:tcW w:w="10350"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standards, all five indicators of Rigor must be marked Yes.</w:t>
            </w:r>
          </w:p>
        </w:tc>
        <w:tc>
          <w:tcPr>
            <w:tcW w:w="3533"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_____     No _____</w:t>
            </w:r>
          </w:p>
        </w:tc>
      </w:tr>
      <w:tr w:rsidR="00981326" w:rsidRPr="00D53761" w:rsidTr="00981326">
        <w:trPr>
          <w:trHeight w:val="1358"/>
        </w:trPr>
        <w:tc>
          <w:tcPr>
            <w:tcW w:w="13883" w:type="dxa"/>
            <w:gridSpan w:val="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Justification/Notes</w:t>
            </w:r>
          </w:p>
        </w:tc>
      </w:tr>
    </w:tbl>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0350"/>
        <w:gridCol w:w="3510"/>
      </w:tblGrid>
      <w:tr w:rsidR="00D53761" w:rsidRPr="00D53761" w:rsidTr="008C353D">
        <w:trPr>
          <w:trHeight w:val="267"/>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lastRenderedPageBreak/>
              <w:t>SECTION I(3):</w:t>
            </w:r>
          </w:p>
          <w:p w:rsidR="00D53761" w:rsidRPr="00D53761" w:rsidRDefault="00D53761" w:rsidP="00D53761">
            <w:pPr>
              <w:rPr>
                <w:rFonts w:ascii="Open Sans" w:hAnsi="Open Sans" w:cs="Open Sans"/>
                <w:b/>
                <w:sz w:val="20"/>
                <w:szCs w:val="20"/>
                <w:u w:val="single"/>
              </w:rPr>
            </w:pPr>
            <w:r w:rsidRPr="00D53761">
              <w:rPr>
                <w:rFonts w:ascii="Open Sans" w:hAnsi="Open Sans" w:cs="Open Sans"/>
                <w:b/>
                <w:sz w:val="20"/>
                <w:szCs w:val="20"/>
                <w:u w:val="single"/>
              </w:rPr>
              <w:t>POSTSECONDARY AND CAREER READINESS:</w:t>
            </w:r>
          </w:p>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lastRenderedPageBreak/>
              <w:t>Materials promote multiple pathways to student success beyond high school, highlighting a range of career opportunities aligned with entry and exit points to and from appropriate postsecondary programs. Aligned pathways are presented in a fair and balanced fashion that underscores the need for advanced training beyond high school, but does not privilege one set of credentials over another and is consistent with occupational requirements.</w:t>
            </w:r>
          </w:p>
        </w:tc>
      </w:tr>
      <w:tr w:rsidR="00D53761" w:rsidRPr="00D53761" w:rsidTr="008C353D">
        <w:trPr>
          <w:trHeight w:val="323"/>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lastRenderedPageBreak/>
              <w:t>METRICS:</w:t>
            </w:r>
          </w:p>
        </w:tc>
      </w:tr>
      <w:tr w:rsidR="00D53761" w:rsidRPr="00D53761" w:rsidTr="008C353D">
        <w:trPr>
          <w:trHeight w:val="2807"/>
        </w:trPr>
        <w:tc>
          <w:tcPr>
            <w:tcW w:w="13860" w:type="dxa"/>
            <w:gridSpan w:val="2"/>
          </w:tcPr>
          <w:p w:rsidR="00D53761" w:rsidRPr="00D53761" w:rsidRDefault="00D53761" w:rsidP="00D53761">
            <w:pPr>
              <w:rPr>
                <w:rFonts w:ascii="Open Sans" w:hAnsi="Open Sans" w:cs="Open Sans"/>
                <w:sz w:val="20"/>
                <w:szCs w:val="20"/>
              </w:rPr>
            </w:pPr>
          </w:p>
          <w:tbl>
            <w:tblPr>
              <w:tblStyle w:val="TableGrid"/>
              <w:tblpPr w:leftFromText="180" w:rightFromText="180" w:vertAnchor="text" w:tblpY="-147"/>
              <w:tblOverlap w:val="never"/>
              <w:tblW w:w="5000" w:type="pct"/>
              <w:tblLook w:val="04A0" w:firstRow="1" w:lastRow="0" w:firstColumn="1" w:lastColumn="0" w:noHBand="0" w:noVBand="1"/>
            </w:tblPr>
            <w:tblGrid>
              <w:gridCol w:w="10236"/>
              <w:gridCol w:w="1710"/>
              <w:gridCol w:w="1688"/>
            </w:tblGrid>
            <w:tr w:rsidR="00D53761" w:rsidRPr="00D53761" w:rsidTr="008C353D">
              <w:trPr>
                <w:trHeight w:val="1007"/>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 xml:space="preserve">Technical skills are promoted within the context of applicable industries and work environments. They are </w:t>
                  </w:r>
                  <w:r w:rsidRPr="00D53761">
                    <w:rPr>
                      <w:rFonts w:ascii="Open Sans" w:hAnsi="Open Sans" w:cs="Open Sans"/>
                      <w:i/>
                      <w:sz w:val="20"/>
                      <w:szCs w:val="20"/>
                    </w:rPr>
                    <w:t>not</w:t>
                  </w:r>
                  <w:r w:rsidRPr="00D53761">
                    <w:rPr>
                      <w:rFonts w:ascii="Open Sans" w:hAnsi="Open Sans" w:cs="Open Sans"/>
                      <w:sz w:val="20"/>
                      <w:szCs w:val="20"/>
                    </w:rPr>
                    <w:t xml:space="preserve"> presented in isolation or without meaningful connections to aligned careers.</w:t>
                  </w:r>
                </w:p>
              </w:tc>
              <w:tc>
                <w:tcPr>
                  <w:tcW w:w="627"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8C353D">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showcase a diversity of career and postsecondary opportunities for students upon completion of high school, including all applicable levels of postsecondary training (i.e., technical schools, community colleges, four-year universities, etc.).</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8C353D">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Connections to relevant certifications and other credentials are clearly explained, and their value in industry is communicated where appropriate.</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8C353D">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provide opportunities for students to practice and reflect upon 21st century (or “soft”) skills.</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bl>
          <w:p w:rsidR="00D53761" w:rsidRPr="00D53761" w:rsidRDefault="00D53761" w:rsidP="00D53761">
            <w:pPr>
              <w:rPr>
                <w:rFonts w:ascii="Open Sans" w:hAnsi="Open Sans" w:cs="Open Sans"/>
                <w:sz w:val="20"/>
                <w:szCs w:val="20"/>
              </w:rPr>
            </w:pPr>
          </w:p>
        </w:tc>
      </w:tr>
      <w:tr w:rsidR="00D53761" w:rsidRPr="00D53761" w:rsidTr="008C353D">
        <w:trPr>
          <w:trHeight w:val="1043"/>
        </w:trPr>
        <w:tc>
          <w:tcPr>
            <w:tcW w:w="10350" w:type="dxa"/>
            <w:shd w:val="clear" w:color="auto" w:fill="F2F2F2" w:themeFill="background1" w:themeFillShade="F2"/>
            <w:vAlign w:val="center"/>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 xml:space="preserve">To be aligned to the standards, all four indicators of Postsecondary and Career Readiness must be marked Yes.  </w:t>
            </w:r>
          </w:p>
        </w:tc>
        <w:tc>
          <w:tcPr>
            <w:tcW w:w="3510" w:type="dxa"/>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Meet?</w:t>
            </w:r>
          </w:p>
          <w:p w:rsidR="00D53761" w:rsidRPr="00D53761" w:rsidRDefault="00D53761" w:rsidP="00D53761">
            <w:pPr>
              <w:jc w:val="center"/>
              <w:rPr>
                <w:rFonts w:ascii="Open Sans" w:hAnsi="Open Sans" w:cs="Open Sans"/>
                <w:b/>
                <w:sz w:val="20"/>
                <w:szCs w:val="20"/>
              </w:rPr>
            </w:pPr>
          </w:p>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_____     No _____</w:t>
            </w:r>
          </w:p>
        </w:tc>
      </w:tr>
      <w:tr w:rsidR="00D53761" w:rsidRPr="00D53761" w:rsidTr="008C353D">
        <w:trPr>
          <w:trHeight w:val="2159"/>
        </w:trPr>
        <w:tc>
          <w:tcPr>
            <w:tcW w:w="13860" w:type="dxa"/>
            <w:gridSpan w:val="2"/>
          </w:tcPr>
          <w:p w:rsidR="00D53761" w:rsidRPr="00D53761" w:rsidRDefault="00D53761" w:rsidP="00D53761">
            <w:pPr>
              <w:keepNext/>
              <w:outlineLvl w:val="4"/>
              <w:rPr>
                <w:rFonts w:ascii="Open Sans" w:hAnsi="Open Sans" w:cs="Open Sans"/>
                <w:b/>
                <w:sz w:val="20"/>
                <w:szCs w:val="20"/>
              </w:rPr>
            </w:pPr>
            <w:r w:rsidRPr="00D53761">
              <w:rPr>
                <w:rFonts w:ascii="Open Sans" w:hAnsi="Open Sans" w:cs="Open Sans"/>
                <w:b/>
                <w:sz w:val="20"/>
                <w:szCs w:val="20"/>
              </w:rPr>
              <w:lastRenderedPageBreak/>
              <w:t>Justification/Notes</w:t>
            </w:r>
          </w:p>
        </w:tc>
      </w:tr>
    </w:tbl>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29" w:type="dxa"/>
        <w:tblInd w:w="-432" w:type="dxa"/>
        <w:tblLook w:val="04A0" w:firstRow="1" w:lastRow="0" w:firstColumn="1" w:lastColumn="0" w:noHBand="0" w:noVBand="1"/>
      </w:tblPr>
      <w:tblGrid>
        <w:gridCol w:w="10350"/>
        <w:gridCol w:w="3479"/>
      </w:tblGrid>
      <w:tr w:rsidR="00D53761" w:rsidRPr="00D53761" w:rsidTr="008C353D">
        <w:trPr>
          <w:trHeight w:val="1384"/>
        </w:trPr>
        <w:tc>
          <w:tcPr>
            <w:tcW w:w="1035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Were all three non-negotiables in section I met?</w:t>
            </w:r>
          </w:p>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(Was each component marked “yes”?)</w:t>
            </w:r>
          </w:p>
          <w:p w:rsidR="00D53761" w:rsidRPr="00D53761" w:rsidRDefault="00D53761" w:rsidP="00D53761">
            <w:pPr>
              <w:contextualSpacing/>
              <w:jc w:val="center"/>
              <w:rPr>
                <w:rFonts w:ascii="Open Sans" w:hAnsi="Open Sans" w:cs="Open Sans"/>
                <w:b/>
                <w:sz w:val="20"/>
                <w:szCs w:val="20"/>
              </w:rPr>
            </w:pPr>
          </w:p>
        </w:tc>
        <w:tc>
          <w:tcPr>
            <w:tcW w:w="3479"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Yes _____       No _____</w:t>
            </w:r>
          </w:p>
        </w:tc>
      </w:tr>
    </w:tbl>
    <w:p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3860"/>
      </w:tblGrid>
      <w:tr w:rsidR="00D53761" w:rsidRPr="00D53761" w:rsidTr="008C353D">
        <w:tc>
          <w:tcPr>
            <w:tcW w:w="1386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 ADDITIONAL ALIGNMENT CRITERIA AND INDICATORS OF QUALITY</w:t>
            </w:r>
          </w:p>
        </w:tc>
      </w:tr>
      <w:tr w:rsidR="00D53761" w:rsidRPr="00D53761" w:rsidTr="008C353D">
        <w:tc>
          <w:tcPr>
            <w:tcW w:w="13860" w:type="dxa"/>
          </w:tcPr>
          <w:p w:rsidR="00D53761" w:rsidRPr="00D53761" w:rsidRDefault="00D53761" w:rsidP="00D53761">
            <w:pPr>
              <w:contextualSpacing/>
              <w:rPr>
                <w:rFonts w:ascii="Open Sans" w:hAnsi="Open Sans" w:cs="Open Sans"/>
                <w:sz w:val="20"/>
                <w:szCs w:val="20"/>
              </w:rPr>
            </w:pPr>
          </w:p>
          <w:p w:rsidR="00D53761" w:rsidRPr="00D53761" w:rsidRDefault="00D53761" w:rsidP="00D53761">
            <w:pPr>
              <w:contextualSpacing/>
              <w:rPr>
                <w:rFonts w:ascii="Open Sans" w:hAnsi="Open Sans" w:cs="Open Sans"/>
                <w:i/>
                <w:sz w:val="20"/>
                <w:szCs w:val="20"/>
              </w:rPr>
            </w:pPr>
            <w:r w:rsidRPr="00D53761">
              <w:rPr>
                <w:rFonts w:ascii="Open Sans" w:hAnsi="Open Sans" w:cs="Open Sans"/>
                <w:i/>
                <w:sz w:val="20"/>
                <w:szCs w:val="20"/>
              </w:rPr>
              <w:t>Materials must meet all non-negotiable criteria in Section I to be aligned to the course standards and receive state approval.</w:t>
            </w:r>
          </w:p>
          <w:p w:rsidR="00D53761" w:rsidRPr="00D53761" w:rsidRDefault="00D53761" w:rsidP="00D53761">
            <w:pPr>
              <w:contextualSpacing/>
              <w:rPr>
                <w:rFonts w:ascii="Open Sans" w:hAnsi="Open Sans" w:cs="Open Sans"/>
                <w:sz w:val="20"/>
                <w:szCs w:val="20"/>
              </w:rPr>
            </w:pPr>
          </w:p>
          <w:p w:rsidR="00D53761" w:rsidRPr="00D53761" w:rsidRDefault="00D53761" w:rsidP="00D53761">
            <w:pPr>
              <w:ind w:right="911"/>
              <w:contextualSpacing/>
              <w:rPr>
                <w:rFonts w:ascii="Open Sans" w:hAnsi="Open Sans" w:cs="Open Sans"/>
                <w:sz w:val="20"/>
                <w:szCs w:val="20"/>
              </w:rPr>
            </w:pPr>
            <w:r w:rsidRPr="00D53761">
              <w:rPr>
                <w:rFonts w:ascii="Open Sans" w:hAnsi="Open Sans" w:cs="Open Sans"/>
                <w:sz w:val="20"/>
                <w:szCs w:val="20"/>
              </w:rPr>
              <w:t>Section II includes additional criteria for alignment to the course standards as well as indicators of quality. Instructional materials evaluated against the criteria in Section II will be rated on the following scale:</w:t>
            </w:r>
          </w:p>
          <w:p w:rsidR="00D53761" w:rsidRPr="00D53761" w:rsidRDefault="00D53761" w:rsidP="00D53761">
            <w:pPr>
              <w:contextualSpacing/>
              <w:rPr>
                <w:rFonts w:ascii="Open Sans" w:hAnsi="Open Sans" w:cs="Open Sans"/>
                <w:sz w:val="20"/>
                <w:szCs w:val="20"/>
              </w:rPr>
            </w:pP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2</w:t>
            </w:r>
            <w:r w:rsidRPr="00D53761">
              <w:rPr>
                <w:rFonts w:ascii="Open Sans" w:hAnsi="Open Sans" w:cs="Open Sans"/>
                <w:sz w:val="20"/>
                <w:szCs w:val="20"/>
              </w:rPr>
              <w:t xml:space="preserve"> – (</w:t>
            </w:r>
            <w:proofErr w:type="gramStart"/>
            <w:r w:rsidRPr="00D53761">
              <w:rPr>
                <w:rFonts w:ascii="Open Sans" w:hAnsi="Open Sans" w:cs="Open Sans"/>
                <w:sz w:val="20"/>
                <w:szCs w:val="20"/>
              </w:rPr>
              <w:t>meets</w:t>
            </w:r>
            <w:proofErr w:type="gramEnd"/>
            <w:r w:rsidRPr="00D53761">
              <w:rPr>
                <w:rFonts w:ascii="Open Sans" w:hAnsi="Open Sans" w:cs="Open Sans"/>
                <w:sz w:val="20"/>
                <w:szCs w:val="20"/>
              </w:rPr>
              <w:t xml:space="preserve"> criteria): A score of 2 means that the materials meet the full intention of the criterion in all grades.</w:t>
            </w: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1</w:t>
            </w:r>
            <w:r w:rsidRPr="00D53761">
              <w:rPr>
                <w:rFonts w:ascii="Open Sans" w:hAnsi="Open Sans" w:cs="Open Sans"/>
                <w:sz w:val="20"/>
                <w:szCs w:val="20"/>
              </w:rPr>
              <w:t xml:space="preserve"> – (</w:t>
            </w:r>
            <w:proofErr w:type="gramStart"/>
            <w:r w:rsidRPr="00D53761">
              <w:rPr>
                <w:rFonts w:ascii="Open Sans" w:hAnsi="Open Sans" w:cs="Open Sans"/>
                <w:sz w:val="20"/>
                <w:szCs w:val="20"/>
              </w:rPr>
              <w:t>partially</w:t>
            </w:r>
            <w:proofErr w:type="gramEnd"/>
            <w:r w:rsidRPr="00D53761">
              <w:rPr>
                <w:rFonts w:ascii="Open Sans" w:hAnsi="Open Sans" w:cs="Open Sans"/>
                <w:sz w:val="20"/>
                <w:szCs w:val="20"/>
              </w:rPr>
              <w:t xml:space="preserve"> meets criteria): A score of 1 means that the materials meet the full intention of the criterion for some grades or meets the criterion in many aspects but not the full intent of the criterion.</w:t>
            </w: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0</w:t>
            </w:r>
            <w:r w:rsidRPr="00D53761">
              <w:rPr>
                <w:rFonts w:ascii="Open Sans" w:hAnsi="Open Sans" w:cs="Open Sans"/>
                <w:sz w:val="20"/>
                <w:szCs w:val="20"/>
              </w:rPr>
              <w:t xml:space="preserve"> – (does not meet criteria): A score of 0 means that the materials do not meet many aspects of the criterion.</w:t>
            </w:r>
          </w:p>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ind w:left="720"/>
        <w:contextualSpacing/>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8C353D">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1). ADDITIONAL ALIGNMENT CRITERIA</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8C353D">
        <w:trPr>
          <w:trHeight w:val="1736"/>
        </w:trPr>
        <w:tc>
          <w:tcPr>
            <w:tcW w:w="8730" w:type="dxa"/>
            <w:vAlign w:val="center"/>
          </w:tcPr>
          <w:p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lastRenderedPageBreak/>
              <w:t xml:space="preserve">Materials are aligned to relevant </w:t>
            </w:r>
            <w:r w:rsidRPr="00D53761">
              <w:rPr>
                <w:rFonts w:ascii="Open Sans" w:hAnsi="Open Sans" w:cs="Open Sans"/>
                <w:b/>
                <w:sz w:val="20"/>
                <w:szCs w:val="20"/>
              </w:rPr>
              <w:t>national and/or industry standards</w:t>
            </w:r>
            <w:r w:rsidRPr="00D53761">
              <w:rPr>
                <w:rFonts w:ascii="Open Sans" w:hAnsi="Open Sans" w:cs="Open Sans"/>
                <w:sz w:val="20"/>
                <w:szCs w:val="20"/>
              </w:rPr>
              <w:t xml:space="preserve"> where appropriate. For example, </w:t>
            </w:r>
            <w:r w:rsidRPr="00D53761">
              <w:rPr>
                <w:rFonts w:ascii="Open Sans" w:hAnsi="Open Sans" w:cs="Open Sans"/>
                <w:i/>
                <w:sz w:val="20"/>
                <w:szCs w:val="20"/>
              </w:rPr>
              <w:t>Mechatronics I</w:t>
            </w:r>
            <w:r w:rsidRPr="00D53761">
              <w:rPr>
                <w:rFonts w:ascii="Open Sans" w:hAnsi="Open Sans" w:cs="Open Sans"/>
                <w:sz w:val="20"/>
                <w:szCs w:val="20"/>
              </w:rPr>
              <w:t xml:space="preserve"> materials routinely make reference to and reinforce connections with national industry certification standards from companies like Siemens.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979"/>
        </w:trPr>
        <w:tc>
          <w:tcPr>
            <w:tcW w:w="8730" w:type="dxa"/>
            <w:vAlign w:val="center"/>
          </w:tcPr>
          <w:p w:rsidR="00D53761" w:rsidRPr="00D53761" w:rsidRDefault="00D53761" w:rsidP="00124855">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discipline-specific </w:t>
            </w:r>
            <w:r w:rsidRPr="00D53761">
              <w:rPr>
                <w:rFonts w:ascii="Open Sans" w:hAnsi="Open Sans" w:cs="Open Sans"/>
                <w:b/>
                <w:sz w:val="20"/>
                <w:szCs w:val="20"/>
              </w:rPr>
              <w:t>content or pedagogical frameworks</w:t>
            </w:r>
            <w:r w:rsidRPr="00D53761">
              <w:rPr>
                <w:rFonts w:ascii="Open Sans" w:hAnsi="Open Sans" w:cs="Open Sans"/>
                <w:sz w:val="20"/>
                <w:szCs w:val="20"/>
              </w:rPr>
              <w:t xml:space="preserve"> frequently used by professionals in associated industries. For example, Differentiating Instruction materials routinely make reference to and reinforce connections with instructional strategies that meet the educational needs of the student, as specified in the standards.</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r w:rsidR="00D53761" w:rsidRPr="00D53761" w:rsidTr="008C353D">
        <w:trPr>
          <w:trHeight w:val="1979"/>
        </w:trPr>
        <w:tc>
          <w:tcPr>
            <w:tcW w:w="8730" w:type="dxa"/>
            <w:vAlign w:val="center"/>
          </w:tcPr>
          <w:p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Connections are made to discipline-specific </w:t>
            </w:r>
            <w:r w:rsidRPr="00D53761">
              <w:rPr>
                <w:rFonts w:ascii="Open Sans" w:hAnsi="Open Sans" w:cs="Open Sans"/>
                <w:b/>
                <w:sz w:val="20"/>
                <w:szCs w:val="20"/>
              </w:rPr>
              <w:t>professional societies and organizations</w:t>
            </w:r>
            <w:r w:rsidRPr="00D53761">
              <w:rPr>
                <w:rFonts w:ascii="Open Sans" w:hAnsi="Open Sans" w:cs="Open Sans"/>
                <w:sz w:val="20"/>
                <w:szCs w:val="20"/>
              </w:rPr>
              <w:t xml:space="preserve">, and their value is clearly communicated in the materials. For example, </w:t>
            </w:r>
            <w:r w:rsidRPr="00D53761">
              <w:rPr>
                <w:rFonts w:ascii="Open Sans" w:hAnsi="Open Sans" w:cs="Open Sans"/>
                <w:i/>
                <w:sz w:val="20"/>
                <w:szCs w:val="20"/>
              </w:rPr>
              <w:t>School Counseling</w:t>
            </w:r>
            <w:r w:rsidRPr="00D53761">
              <w:rPr>
                <w:rFonts w:ascii="Open Sans" w:hAnsi="Open Sans" w:cs="Open Sans"/>
                <w:sz w:val="20"/>
                <w:szCs w:val="20"/>
              </w:rPr>
              <w:t xml:space="preserve"> materials routinely make reference to and reinforce connections with the</w:t>
            </w:r>
            <w:r w:rsidR="00415672">
              <w:rPr>
                <w:rFonts w:ascii="Open Sans" w:hAnsi="Open Sans" w:cs="Open Sans"/>
                <w:sz w:val="20"/>
                <w:szCs w:val="20"/>
              </w:rPr>
              <w:t xml:space="preserve"> </w:t>
            </w:r>
            <w:r w:rsidRPr="00D53761">
              <w:rPr>
                <w:rFonts w:ascii="Open Sans" w:hAnsi="Open Sans" w:cs="Open Sans"/>
                <w:sz w:val="20"/>
                <w:szCs w:val="20"/>
              </w:rPr>
              <w:t>American School Counselor Association (ASCA).</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line="240" w:lineRule="auto"/>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8C353D">
        <w:trPr>
          <w:trHeight w:val="350"/>
        </w:trPr>
        <w:tc>
          <w:tcPr>
            <w:tcW w:w="8730" w:type="dxa"/>
            <w:shd w:val="clear" w:color="auto" w:fill="F2F2F2" w:themeFill="background1" w:themeFillShade="F2"/>
            <w:vAlign w:val="center"/>
          </w:tcPr>
          <w:p w:rsidR="00D53761" w:rsidRPr="00D53761" w:rsidRDefault="00D53761" w:rsidP="006D23A5">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 xml:space="preserve">2). </w:t>
            </w:r>
            <w:r w:rsidRPr="00D53761">
              <w:rPr>
                <w:rFonts w:ascii="Open Sans" w:hAnsi="Open Sans" w:cs="Open Sans"/>
                <w:b/>
                <w:sz w:val="20"/>
                <w:szCs w:val="20"/>
              </w:rPr>
              <w:t>SEQUENCE AND PROGRESSION OF STANDARDS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8C353D">
        <w:trPr>
          <w:trHeight w:val="1664"/>
        </w:trPr>
        <w:tc>
          <w:tcPr>
            <w:tcW w:w="8730" w:type="dxa"/>
            <w:vAlign w:val="center"/>
          </w:tcPr>
          <w:p w:rsidR="00D53761" w:rsidRPr="00D53761" w:rsidRDefault="00D53761" w:rsidP="00D53761">
            <w:pPr>
              <w:numPr>
                <w:ilvl w:val="0"/>
                <w:numId w:val="5"/>
              </w:numPr>
              <w:ind w:left="342"/>
              <w:contextualSpacing/>
              <w:rPr>
                <w:rFonts w:ascii="Open Sans" w:hAnsi="Open Sans" w:cs="Open Sans"/>
                <w:sz w:val="20"/>
                <w:szCs w:val="20"/>
              </w:rPr>
            </w:pPr>
            <w:r w:rsidRPr="00D53761">
              <w:rPr>
                <w:rFonts w:ascii="Open Sans" w:hAnsi="Open Sans" w:cs="Open Sans"/>
                <w:sz w:val="20"/>
                <w:szCs w:val="20"/>
              </w:rPr>
              <w:t>Connections are made within a course between knowledge and skills, where these connections are appropriate and natural, as set forth by the standards.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979"/>
        </w:trPr>
        <w:tc>
          <w:tcPr>
            <w:tcW w:w="8730" w:type="dxa"/>
            <w:vAlign w:val="center"/>
          </w:tcPr>
          <w:p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lastRenderedPageBreak/>
              <w:t>Materials are vertically coherent with previous courses and these connections are made clear in the materials. The connections are explicit to the other materials in the course.</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r w:rsidR="00D53761" w:rsidRPr="00D53761" w:rsidTr="008C353D">
        <w:trPr>
          <w:trHeight w:val="1781"/>
        </w:trPr>
        <w:tc>
          <w:tcPr>
            <w:tcW w:w="8730" w:type="dxa"/>
            <w:vAlign w:val="center"/>
          </w:tcPr>
          <w:p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8C353D">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3). TEACHER SUPPORTS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8C353D">
        <w:trPr>
          <w:trHeight w:val="1502"/>
        </w:trPr>
        <w:tc>
          <w:tcPr>
            <w:tcW w:w="8730" w:type="dxa"/>
            <w:vAlign w:val="center"/>
          </w:tcPr>
          <w:p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Materials support teachers in ways such as the following: planning (including ideas for pacing), sample lessons, laboratory applications, projects, vocabulary, and instructional strategies.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376"/>
        </w:trPr>
        <w:tc>
          <w:tcPr>
            <w:tcW w:w="8730" w:type="dxa"/>
            <w:vAlign w:val="center"/>
          </w:tcPr>
          <w:p w:rsidR="00D53761" w:rsidRPr="00D53761" w:rsidRDefault="00D53761" w:rsidP="00D53761">
            <w:pPr>
              <w:numPr>
                <w:ilvl w:val="0"/>
                <w:numId w:val="6"/>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376"/>
        </w:trPr>
        <w:tc>
          <w:tcPr>
            <w:tcW w:w="8730" w:type="dxa"/>
            <w:vAlign w:val="center"/>
          </w:tcPr>
          <w:p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8C353D">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lastRenderedPageBreak/>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4). USABILITY</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8C353D">
        <w:trPr>
          <w:trHeight w:val="1502"/>
        </w:trPr>
        <w:tc>
          <w:tcPr>
            <w:tcW w:w="8730" w:type="dxa"/>
            <w:vAlign w:val="center"/>
          </w:tcPr>
          <w:p w:rsidR="00D53761" w:rsidRPr="00D53761" w:rsidRDefault="00D53761" w:rsidP="00D53761">
            <w:pPr>
              <w:numPr>
                <w:ilvl w:val="0"/>
                <w:numId w:val="10"/>
              </w:numPr>
              <w:contextualSpacing/>
              <w:rPr>
                <w:rFonts w:ascii="Open Sans" w:hAnsi="Open Sans" w:cs="Open Sans"/>
                <w:sz w:val="20"/>
                <w:szCs w:val="20"/>
              </w:rPr>
            </w:pPr>
            <w:r w:rsidRPr="00D53761">
              <w:rPr>
                <w:rFonts w:ascii="Open Sans" w:hAnsi="Open Sans" w:cs="Open Sans"/>
                <w:sz w:val="20"/>
                <w:szCs w:val="20"/>
              </w:rPr>
              <w:t>Materials can be accessed in a variety of formats and media, including but not limited to printed textbooks, digital storage devices, online applications, and cloud-based forums.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115"/>
        </w:trPr>
        <w:tc>
          <w:tcPr>
            <w:tcW w:w="8730" w:type="dxa"/>
            <w:vAlign w:val="center"/>
          </w:tcPr>
          <w:p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clear and easy to read for students, teachers,</w:t>
            </w:r>
            <w:r w:rsidR="006F3C74">
              <w:rPr>
                <w:rFonts w:ascii="Open Sans" w:hAnsi="Open Sans" w:cs="Open Sans"/>
                <w:sz w:val="20"/>
                <w:szCs w:val="20"/>
              </w:rPr>
              <w:t xml:space="preserve"> and</w:t>
            </w:r>
            <w:r w:rsidRPr="00D53761">
              <w:rPr>
                <w:rFonts w:ascii="Open Sans" w:hAnsi="Open Sans" w:cs="Open Sans"/>
                <w:sz w:val="20"/>
                <w:szCs w:val="20"/>
              </w:rPr>
              <w:t xml:space="preserve"> parents. The design and graphics do not distract from the course content and are appropriately placed.</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376"/>
        </w:trPr>
        <w:tc>
          <w:tcPr>
            <w:tcW w:w="8730" w:type="dxa"/>
            <w:vAlign w:val="center"/>
          </w:tcPr>
          <w:p w:rsidR="00D53761" w:rsidRPr="00D53761" w:rsidRDefault="00D53761" w:rsidP="00D53761">
            <w:pPr>
              <w:numPr>
                <w:ilvl w:val="0"/>
                <w:numId w:val="10"/>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supports for all learners, e.g., ELs, students who are below grade level, advanced students.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376"/>
        </w:trPr>
        <w:tc>
          <w:tcPr>
            <w:tcW w:w="8730" w:type="dxa"/>
            <w:vAlign w:val="center"/>
          </w:tcPr>
          <w:p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t>Please note any concerns with sensitivity below:</w:t>
      </w:r>
    </w:p>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p w:rsidR="00421523" w:rsidRPr="00911CDD" w:rsidRDefault="00421523" w:rsidP="00D53761">
      <w:pPr>
        <w:spacing w:after="0"/>
        <w:rPr>
          <w:rFonts w:ascii="Open Sans" w:hAnsi="Open Sans" w:cs="Open Sans"/>
          <w:sz w:val="20"/>
          <w:szCs w:val="20"/>
        </w:rPr>
      </w:pPr>
    </w:p>
    <w:p w:rsidR="00421523" w:rsidRPr="00911CDD" w:rsidRDefault="00421523"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br/>
      </w:r>
    </w:p>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8C353D">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lastRenderedPageBreak/>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5). ASSESSMENTS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8C353D">
        <w:trPr>
          <w:trHeight w:val="1502"/>
        </w:trPr>
        <w:tc>
          <w:tcPr>
            <w:tcW w:w="8730" w:type="dxa"/>
            <w:vAlign w:val="center"/>
          </w:tcPr>
          <w:p w:rsidR="00D53761" w:rsidRPr="00D53761" w:rsidRDefault="00D53761" w:rsidP="00D53761">
            <w:pPr>
              <w:numPr>
                <w:ilvl w:val="0"/>
                <w:numId w:val="9"/>
              </w:numPr>
              <w:contextualSpacing/>
              <w:rPr>
                <w:rFonts w:ascii="Open Sans" w:hAnsi="Open Sans" w:cs="Open Sans"/>
                <w:sz w:val="20"/>
                <w:szCs w:val="20"/>
              </w:rPr>
            </w:pPr>
            <w:r w:rsidRPr="00D53761">
              <w:rPr>
                <w:rFonts w:ascii="Open Sans"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115"/>
        </w:trPr>
        <w:tc>
          <w:tcPr>
            <w:tcW w:w="8730" w:type="dxa"/>
            <w:vAlign w:val="center"/>
          </w:tcPr>
          <w:p w:rsidR="00D53761" w:rsidRPr="00D53761" w:rsidRDefault="00D53761" w:rsidP="00D53761">
            <w:pPr>
              <w:numPr>
                <w:ilvl w:val="0"/>
                <w:numId w:val="9"/>
              </w:numPr>
              <w:ind w:left="432"/>
              <w:contextualSpacing/>
              <w:rPr>
                <w:rFonts w:ascii="Open Sans" w:hAnsi="Open Sans" w:cs="Open Sans"/>
                <w:sz w:val="20"/>
                <w:szCs w:val="20"/>
              </w:rPr>
            </w:pPr>
            <w:r w:rsidRPr="00D53761">
              <w:rPr>
                <w:rFonts w:ascii="Open Sans" w:hAnsi="Open Sans" w:cs="Open Sans"/>
                <w:sz w:val="20"/>
                <w:szCs w:val="20"/>
              </w:rPr>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376"/>
        </w:trPr>
        <w:tc>
          <w:tcPr>
            <w:tcW w:w="8730" w:type="dxa"/>
            <w:vAlign w:val="center"/>
          </w:tcPr>
          <w:p w:rsidR="00D53761" w:rsidRPr="00D53761" w:rsidRDefault="00D53761" w:rsidP="00D53761">
            <w:pPr>
              <w:numPr>
                <w:ilvl w:val="0"/>
                <w:numId w:val="9"/>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assessment accommodations for diverse learners, including sample items that capture multiple measures of student proficiency.</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13158"/>
      </w:tblGrid>
      <w:tr w:rsidR="00D53761" w:rsidRPr="00D53761" w:rsidTr="008C353D">
        <w:trPr>
          <w:trHeight w:val="395"/>
        </w:trPr>
        <w:tc>
          <w:tcPr>
            <w:tcW w:w="13158" w:type="dxa"/>
            <w:shd w:val="clear" w:color="auto" w:fill="F2F2F2" w:themeFill="background1" w:themeFillShade="F2"/>
          </w:tcPr>
          <w:p w:rsidR="00D53761" w:rsidRPr="00D53761" w:rsidRDefault="00D53761" w:rsidP="00D53761">
            <w:pPr>
              <w:rPr>
                <w:rFonts w:ascii="Open Sans" w:hAnsi="Open Sans" w:cs="Open Sans"/>
                <w:b/>
                <w:i/>
                <w:sz w:val="20"/>
                <w:szCs w:val="20"/>
              </w:rPr>
            </w:pPr>
            <w:r w:rsidRPr="00D53761">
              <w:rPr>
                <w:rFonts w:ascii="Open Sans" w:hAnsi="Open Sans" w:cs="Open Sans"/>
                <w:b/>
                <w:sz w:val="20"/>
                <w:szCs w:val="20"/>
              </w:rPr>
              <w:t xml:space="preserve">SECTION III </w:t>
            </w:r>
            <w:r w:rsidRPr="00D53761">
              <w:rPr>
                <w:rFonts w:ascii="Open Sans" w:hAnsi="Open Sans" w:cs="Open Sans"/>
                <w:b/>
                <w:i/>
                <w:sz w:val="20"/>
                <w:szCs w:val="20"/>
              </w:rPr>
              <w:t>(optional)</w:t>
            </w:r>
            <w:r w:rsidRPr="00D53761">
              <w:rPr>
                <w:rFonts w:ascii="Open Sans" w:hAnsi="Open Sans" w:cs="Open Sans"/>
                <w:b/>
                <w:sz w:val="20"/>
                <w:szCs w:val="20"/>
              </w:rPr>
              <w:t>:</w:t>
            </w:r>
            <w:r w:rsidRPr="00D53761">
              <w:rPr>
                <w:rFonts w:ascii="Open Sans" w:hAnsi="Open Sans" w:cs="Open Sans"/>
                <w:b/>
                <w:i/>
                <w:sz w:val="20"/>
                <w:szCs w:val="20"/>
              </w:rPr>
              <w:t xml:space="preserve"> </w:t>
            </w:r>
            <w:r w:rsidRPr="00D53761">
              <w:rPr>
                <w:rFonts w:ascii="Open Sans" w:hAnsi="Open Sans" w:cs="Open Sans"/>
                <w:b/>
                <w:sz w:val="20"/>
                <w:szCs w:val="20"/>
              </w:rPr>
              <w:t>FOCUS AREA</w:t>
            </w:r>
          </w:p>
          <w:p w:rsidR="00D53761" w:rsidRPr="00D53761" w:rsidRDefault="00D53761" w:rsidP="00D53761">
            <w:pPr>
              <w:rPr>
                <w:rFonts w:ascii="Open Sans" w:hAnsi="Open Sans" w:cs="Open Sans"/>
                <w:b/>
                <w:sz w:val="20"/>
                <w:szCs w:val="20"/>
              </w:rPr>
            </w:pPr>
          </w:p>
          <w:p w:rsidR="00D53761" w:rsidRPr="00D53761" w:rsidRDefault="00D53761" w:rsidP="00B564D1">
            <w:pPr>
              <w:rPr>
                <w:rFonts w:ascii="Open Sans" w:hAnsi="Open Sans" w:cs="Open Sans"/>
                <w:sz w:val="20"/>
                <w:szCs w:val="20"/>
              </w:rPr>
            </w:pPr>
            <w:r w:rsidRPr="00D53761">
              <w:rPr>
                <w:rFonts w:ascii="Open Sans" w:hAnsi="Open Sans" w:cs="Open Sans"/>
                <w:sz w:val="20"/>
                <w:szCs w:val="20"/>
              </w:rPr>
              <w:t xml:space="preserve">Use this section to capture qualitative observations on an additional area of focus, if presented in the materials. A sample focus area for the </w:t>
            </w:r>
            <w:r w:rsidR="003965B7">
              <w:rPr>
                <w:rFonts w:ascii="Open Sans" w:hAnsi="Open Sans" w:cs="Open Sans"/>
                <w:sz w:val="20"/>
                <w:szCs w:val="20"/>
              </w:rPr>
              <w:t xml:space="preserve">Health </w:t>
            </w:r>
            <w:r w:rsidR="00B564D1">
              <w:rPr>
                <w:rFonts w:ascii="Open Sans" w:hAnsi="Open Sans" w:cs="Open Sans"/>
                <w:sz w:val="20"/>
                <w:szCs w:val="20"/>
              </w:rPr>
              <w:t>Informatics</w:t>
            </w:r>
            <w:r w:rsidRPr="00D53761">
              <w:rPr>
                <w:rFonts w:ascii="Open Sans" w:hAnsi="Open Sans" w:cs="Open Sans"/>
                <w:sz w:val="20"/>
                <w:szCs w:val="20"/>
              </w:rPr>
              <w:t xml:space="preserve"> </w:t>
            </w:r>
            <w:r w:rsidR="00B564D1">
              <w:rPr>
                <w:rFonts w:ascii="Open Sans" w:hAnsi="Open Sans" w:cs="Open Sans"/>
                <w:sz w:val="20"/>
                <w:szCs w:val="20"/>
              </w:rPr>
              <w:t>program of study</w:t>
            </w:r>
            <w:r w:rsidRPr="00D53761">
              <w:rPr>
                <w:rFonts w:ascii="Open Sans" w:hAnsi="Open Sans" w:cs="Open Sans"/>
                <w:sz w:val="20"/>
                <w:szCs w:val="20"/>
              </w:rPr>
              <w:t xml:space="preserve"> is provided in the following. If applicable, fill in the blank table with observations and notes.</w:t>
            </w:r>
          </w:p>
        </w:tc>
      </w:tr>
    </w:tbl>
    <w:tbl>
      <w:tblPr>
        <w:tblStyle w:val="TableGrid"/>
        <w:tblpPr w:leftFromText="180" w:rightFromText="180" w:vertAnchor="text" w:horzAnchor="margin" w:tblpXSpec="center" w:tblpY="129"/>
        <w:tblW w:w="0" w:type="auto"/>
        <w:shd w:val="thinReverseDiagStripe" w:color="D9D9D9" w:themeColor="background1" w:themeShade="D9" w:fill="auto"/>
        <w:tblLayout w:type="fixed"/>
        <w:tblLook w:val="04A0" w:firstRow="1" w:lastRow="0" w:firstColumn="1" w:lastColumn="0" w:noHBand="0" w:noVBand="1"/>
      </w:tblPr>
      <w:tblGrid>
        <w:gridCol w:w="8730"/>
        <w:gridCol w:w="4428"/>
      </w:tblGrid>
      <w:tr w:rsidR="00D53761" w:rsidRPr="00D53761" w:rsidTr="008C353D">
        <w:trPr>
          <w:trHeight w:val="395"/>
        </w:trPr>
        <w:tc>
          <w:tcPr>
            <w:tcW w:w="8730" w:type="dxa"/>
            <w:shd w:val="thinReverseDiagStripe" w:color="D9D9D9" w:themeColor="background1" w:themeShade="D9" w:fill="auto"/>
            <w:vAlign w:val="center"/>
          </w:tcPr>
          <w:p w:rsidR="00D53761" w:rsidRPr="00D53761" w:rsidRDefault="00D53761" w:rsidP="00B564D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III. EXAMPLE: FOCUS IN </w:t>
            </w:r>
            <w:r w:rsidR="00B564D1">
              <w:rPr>
                <w:rFonts w:ascii="Open Sans" w:eastAsia="Times New Roman" w:hAnsi="Open Sans" w:cs="Open Sans"/>
                <w:b/>
                <w:sz w:val="20"/>
                <w:szCs w:val="20"/>
              </w:rPr>
              <w:t>Health Information Systems</w:t>
            </w:r>
            <w:r w:rsidRPr="00D53761">
              <w:rPr>
                <w:rFonts w:ascii="Open Sans" w:eastAsia="Times New Roman" w:hAnsi="Open Sans" w:cs="Open Sans"/>
                <w:b/>
                <w:sz w:val="20"/>
                <w:szCs w:val="20"/>
              </w:rPr>
              <w:t xml:space="preserve"> </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rsidTr="008C353D">
        <w:trPr>
          <w:trHeight w:val="1259"/>
        </w:trPr>
        <w:tc>
          <w:tcPr>
            <w:tcW w:w="8730" w:type="dxa"/>
            <w:shd w:val="thinReverseDiagStripe" w:color="D9D9D9" w:themeColor="background1" w:themeShade="D9" w:fill="auto"/>
            <w:vAlign w:val="center"/>
          </w:tcPr>
          <w:p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include coverage of </w:t>
            </w:r>
            <w:r w:rsidR="00B564D1">
              <w:rPr>
                <w:rFonts w:ascii="Open Sans" w:hAnsi="Open Sans" w:cs="Open Sans"/>
                <w:sz w:val="20"/>
                <w:szCs w:val="20"/>
              </w:rPr>
              <w:t>major parameters most frequently reported in health databases.</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i/>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r w:rsidR="00D53761" w:rsidRPr="00D53761" w:rsidTr="008C353D">
        <w:trPr>
          <w:trHeight w:val="1115"/>
        </w:trPr>
        <w:tc>
          <w:tcPr>
            <w:tcW w:w="8730" w:type="dxa"/>
            <w:shd w:val="thinReverseDiagStripe" w:color="D9D9D9" w:themeColor="background1" w:themeShade="D9" w:fill="auto"/>
            <w:vAlign w:val="center"/>
          </w:tcPr>
          <w:p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draw clear connections between </w:t>
            </w:r>
            <w:r w:rsidR="00B564D1">
              <w:rPr>
                <w:rFonts w:ascii="Open Sans" w:hAnsi="Open Sans" w:cs="Open Sans"/>
                <w:sz w:val="20"/>
                <w:szCs w:val="20"/>
              </w:rPr>
              <w:t>policy and procedures and the legal ramifications of health informatics.</w:t>
            </w:r>
            <w:r w:rsidRPr="00D53761">
              <w:rPr>
                <w:rFonts w:ascii="Open Sans" w:hAnsi="Open Sans" w:cs="Open Sans"/>
                <w:color w:val="000000"/>
                <w:sz w:val="20"/>
                <w:szCs w:val="20"/>
              </w:rPr>
              <w:t xml:space="preserve"> </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bl>
    <w:tbl>
      <w:tblPr>
        <w:tblStyle w:val="TableGrid"/>
        <w:tblW w:w="0" w:type="auto"/>
        <w:tblInd w:w="18" w:type="dxa"/>
        <w:tblLayout w:type="fixed"/>
        <w:tblLook w:val="04A0" w:firstRow="1" w:lastRow="0" w:firstColumn="1" w:lastColumn="0" w:noHBand="0" w:noVBand="1"/>
      </w:tblPr>
      <w:tblGrid>
        <w:gridCol w:w="8730"/>
        <w:gridCol w:w="4428"/>
      </w:tblGrid>
      <w:tr w:rsidR="00D53761" w:rsidRPr="00D53761" w:rsidTr="008C353D">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III. FOCUS AREA:</w:t>
            </w:r>
          </w:p>
        </w:tc>
        <w:tc>
          <w:tcPr>
            <w:tcW w:w="442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rsidTr="008C353D">
        <w:trPr>
          <w:trHeight w:val="1259"/>
        </w:trPr>
        <w:tc>
          <w:tcPr>
            <w:tcW w:w="8730" w:type="dxa"/>
            <w:vAlign w:val="center"/>
          </w:tcPr>
          <w:p w:rsidR="00D53761" w:rsidRPr="00D53761" w:rsidRDefault="00D53761" w:rsidP="00D53761">
            <w:pPr>
              <w:rPr>
                <w:rFonts w:ascii="Open Sans" w:hAnsi="Open Sans" w:cs="Open Sans"/>
                <w:sz w:val="20"/>
                <w:szCs w:val="20"/>
              </w:rPr>
            </w:pPr>
          </w:p>
        </w:tc>
        <w:tc>
          <w:tcPr>
            <w:tcW w:w="4428" w:type="dxa"/>
            <w:vAlign w:val="center"/>
          </w:tcPr>
          <w:p w:rsidR="00D53761" w:rsidRPr="00D53761" w:rsidRDefault="00D53761" w:rsidP="00D53761">
            <w:pPr>
              <w:contextualSpacing/>
              <w:jc w:val="center"/>
              <w:rPr>
                <w:rFonts w:ascii="Open Sans" w:hAnsi="Open Sans" w:cs="Open Sans"/>
                <w:i/>
                <w:sz w:val="20"/>
                <w:szCs w:val="20"/>
              </w:rPr>
            </w:pPr>
          </w:p>
        </w:tc>
      </w:tr>
      <w:tr w:rsidR="00D53761" w:rsidRPr="00D53761" w:rsidTr="008C353D">
        <w:trPr>
          <w:trHeight w:val="1115"/>
        </w:trPr>
        <w:tc>
          <w:tcPr>
            <w:tcW w:w="8730" w:type="dxa"/>
            <w:vAlign w:val="center"/>
          </w:tcPr>
          <w:p w:rsidR="00D53761" w:rsidRPr="00D53761" w:rsidRDefault="00D53761" w:rsidP="00D53761">
            <w:pPr>
              <w:rPr>
                <w:rFonts w:ascii="Open Sans" w:hAnsi="Open Sans" w:cs="Open Sans"/>
                <w:sz w:val="20"/>
                <w:szCs w:val="20"/>
              </w:rPr>
            </w:pPr>
          </w:p>
        </w:tc>
        <w:tc>
          <w:tcPr>
            <w:tcW w:w="4428" w:type="dxa"/>
            <w:vAlign w:val="center"/>
          </w:tcPr>
          <w:p w:rsidR="00D53761" w:rsidRPr="00D53761" w:rsidRDefault="00D53761" w:rsidP="00D53761">
            <w:pPr>
              <w:contextualSpacing/>
              <w:jc w:val="center"/>
              <w:rPr>
                <w:rFonts w:ascii="Open Sans" w:hAnsi="Open Sans" w:cs="Open Sans"/>
                <w:sz w:val="20"/>
                <w:szCs w:val="20"/>
              </w:rPr>
            </w:pPr>
          </w:p>
        </w:tc>
      </w:tr>
    </w:tbl>
    <w:p w:rsidR="00D53761" w:rsidRPr="00D53761" w:rsidRDefault="00D53761" w:rsidP="00D53761">
      <w:pPr>
        <w:rPr>
          <w:rFonts w:ascii="Open Sans" w:hAnsi="Open Sans" w:cs="Open Sans"/>
          <w:sz w:val="20"/>
          <w:szCs w:val="20"/>
        </w:rPr>
      </w:pPr>
    </w:p>
    <w:sectPr w:rsidR="00D53761" w:rsidRPr="00D53761" w:rsidSect="00D5376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898351F"/>
    <w:multiLevelType w:val="hybridMultilevel"/>
    <w:tmpl w:val="DC507BC2"/>
    <w:lvl w:ilvl="0" w:tplc="3A08D494">
      <w:start w:val="1"/>
      <w:numFmt w:val="upp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3">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
    <w:nsid w:val="31E02D15"/>
    <w:multiLevelType w:val="hybridMultilevel"/>
    <w:tmpl w:val="BC22DC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DB3320F"/>
    <w:multiLevelType w:val="hybridMultilevel"/>
    <w:tmpl w:val="DC507BC2"/>
    <w:lvl w:ilvl="0" w:tplc="3A08D49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59DC050A"/>
    <w:multiLevelType w:val="hybridMultilevel"/>
    <w:tmpl w:val="653C09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2341751"/>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7"/>
  </w:num>
  <w:num w:numId="2">
    <w:abstractNumId w:val="1"/>
  </w:num>
  <w:num w:numId="3">
    <w:abstractNumId w:val="6"/>
  </w:num>
  <w:num w:numId="4">
    <w:abstractNumId w:val="2"/>
  </w:num>
  <w:num w:numId="5">
    <w:abstractNumId w:val="0"/>
  </w:num>
  <w:num w:numId="6">
    <w:abstractNumId w:val="8"/>
  </w:num>
  <w:num w:numId="7">
    <w:abstractNumId w:val="5"/>
  </w:num>
  <w:num w:numId="8">
    <w:abstractNumId w:val="9"/>
  </w:num>
  <w:num w:numId="9">
    <w:abstractNumId w:val="10"/>
  </w:num>
  <w:num w:numId="10">
    <w:abstractNumId w:val="3"/>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761"/>
    <w:rsid w:val="00000AB5"/>
    <w:rsid w:val="000E3170"/>
    <w:rsid w:val="0011573F"/>
    <w:rsid w:val="00124855"/>
    <w:rsid w:val="001602D8"/>
    <w:rsid w:val="001A0833"/>
    <w:rsid w:val="002D0902"/>
    <w:rsid w:val="003965B7"/>
    <w:rsid w:val="004079F5"/>
    <w:rsid w:val="00415672"/>
    <w:rsid w:val="00421523"/>
    <w:rsid w:val="0043492C"/>
    <w:rsid w:val="00465233"/>
    <w:rsid w:val="00473800"/>
    <w:rsid w:val="006240A2"/>
    <w:rsid w:val="00642569"/>
    <w:rsid w:val="006A1A1A"/>
    <w:rsid w:val="006B2D51"/>
    <w:rsid w:val="006D23A5"/>
    <w:rsid w:val="006F3C74"/>
    <w:rsid w:val="007125FD"/>
    <w:rsid w:val="00730420"/>
    <w:rsid w:val="007728F3"/>
    <w:rsid w:val="007C21F4"/>
    <w:rsid w:val="00871B0B"/>
    <w:rsid w:val="008B526F"/>
    <w:rsid w:val="008C4C6B"/>
    <w:rsid w:val="008C71E0"/>
    <w:rsid w:val="00911CDD"/>
    <w:rsid w:val="00981326"/>
    <w:rsid w:val="00B31E0B"/>
    <w:rsid w:val="00B564D1"/>
    <w:rsid w:val="00C25F66"/>
    <w:rsid w:val="00C3750F"/>
    <w:rsid w:val="00CE0E9C"/>
    <w:rsid w:val="00D11A14"/>
    <w:rsid w:val="00D53761"/>
    <w:rsid w:val="00D73280"/>
    <w:rsid w:val="00E45E61"/>
    <w:rsid w:val="00E70F53"/>
    <w:rsid w:val="00EB1010"/>
    <w:rsid w:val="00ED3FD4"/>
    <w:rsid w:val="00EF5194"/>
    <w:rsid w:val="00F545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7F8E6F-54EA-410C-85B2-A137F7985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37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D537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537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3761"/>
    <w:rPr>
      <w:rFonts w:ascii="Tahoma" w:hAnsi="Tahoma" w:cs="Tahoma"/>
      <w:sz w:val="16"/>
      <w:szCs w:val="16"/>
    </w:rPr>
  </w:style>
  <w:style w:type="paragraph" w:styleId="ListParagraph">
    <w:name w:val="List Paragraph"/>
    <w:basedOn w:val="Normal"/>
    <w:uiPriority w:val="34"/>
    <w:qFormat/>
    <w:rsid w:val="003965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5921A2-0BBE-4C89-A13B-AEC4D4AF0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2107</Words>
  <Characters>12016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Candi Norwood</dc:creator>
  <cp:lastModifiedBy>Candi Norwood</cp:lastModifiedBy>
  <cp:revision>3</cp:revision>
  <cp:lastPrinted>2016-06-14T21:25:00Z</cp:lastPrinted>
  <dcterms:created xsi:type="dcterms:W3CDTF">2016-08-18T20:03:00Z</dcterms:created>
  <dcterms:modified xsi:type="dcterms:W3CDTF">2016-08-18T20:12:00Z</dcterms:modified>
</cp:coreProperties>
</file>