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EC66BB">
              <w:rPr>
                <w:rFonts w:ascii="Open Sans" w:hAnsi="Open Sans" w:cs="Open Sans"/>
                <w:sz w:val="18"/>
                <w:szCs w:val="18"/>
              </w:rPr>
              <w:t>Marketing Dynamics – 978-1-63126-625-6</w:t>
            </w:r>
            <w:r w:rsidR="00981326" w:rsidRPr="00D53761">
              <w:rPr>
                <w:rFonts w:ascii="Open Sans" w:hAnsi="Open Sans" w:cs="Open Sans"/>
                <w:sz w:val="18"/>
                <w:szCs w:val="18"/>
              </w:rPr>
              <w:t xml:space="preserve"> Level(s)/Course(s): _</w:t>
            </w:r>
            <w:r w:rsidR="00EC66BB">
              <w:rPr>
                <w:rFonts w:ascii="Open Sans" w:hAnsi="Open Sans" w:cs="Open Sans"/>
                <w:sz w:val="18"/>
                <w:szCs w:val="18"/>
              </w:rPr>
              <w:t>9-12/Marketing</w:t>
            </w:r>
            <w:r w:rsidR="00981326" w:rsidRPr="00D53761">
              <w:rPr>
                <w:rFonts w:ascii="Open Sans" w:hAnsi="Open Sans" w:cs="Open Sans"/>
                <w:sz w:val="18"/>
                <w:szCs w:val="18"/>
              </w:rPr>
              <w:t>_</w:t>
            </w:r>
            <w:r w:rsidR="000E3170">
              <w:rPr>
                <w:rFonts w:ascii="Open Sans" w:hAnsi="Open Sans" w:cs="Open Sans"/>
                <w:sz w:val="18"/>
                <w:szCs w:val="18"/>
              </w:rPr>
              <w:t>__________</w:t>
            </w:r>
            <w:r w:rsidR="00EC66BB">
              <w:rPr>
                <w:rFonts w:ascii="Open Sans" w:hAnsi="Open Sans" w:cs="Open Sans"/>
                <w:sz w:val="18"/>
                <w:szCs w:val="18"/>
              </w:rPr>
              <w:t>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w:t>
            </w:r>
            <w:r w:rsidR="00EC66BB">
              <w:rPr>
                <w:rFonts w:ascii="Open Sans" w:hAnsi="Open Sans" w:cs="Open Sans"/>
                <w:sz w:val="18"/>
                <w:szCs w:val="18"/>
              </w:rPr>
              <w:t>Goodheart-Willcox</w:t>
            </w:r>
            <w:r w:rsidRPr="00D53761">
              <w:rPr>
                <w:rFonts w:ascii="Open Sans" w:hAnsi="Open Sans" w:cs="Open Sans"/>
                <w:sz w:val="18"/>
                <w:szCs w:val="18"/>
              </w:rPr>
              <w:t>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EC66BB">
              <w:rPr>
                <w:rFonts w:ascii="Open Sans" w:hAnsi="Open Sans" w:cs="Open Sans"/>
                <w:sz w:val="18"/>
                <w:szCs w:val="18"/>
              </w:rPr>
              <w:t>2019</w:t>
            </w:r>
            <w:r w:rsidRPr="00D53761">
              <w:rPr>
                <w:rFonts w:ascii="Open Sans" w:hAnsi="Open Sans" w:cs="Open Sans"/>
                <w:sz w:val="18"/>
                <w:szCs w:val="18"/>
              </w:rPr>
              <w:t>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rsidR="00350344" w:rsidRDefault="00350344"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AC09DF">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AC09DF">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AC09DF">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C09DF">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C09DF">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11573F" w:rsidP="00981326">
            <w:pPr>
              <w:rPr>
                <w:rFonts w:ascii="Open Sans" w:hAnsi="Open Sans" w:cs="Open Sans"/>
                <w:sz w:val="20"/>
                <w:szCs w:val="20"/>
              </w:rPr>
            </w:pP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6-7; 15-16</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12-14</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11-12; 30</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Chapter 2</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25-26; 149-154</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24-26; 159</w:t>
            </w:r>
          </w:p>
        </w:tc>
      </w:tr>
      <w:tr w:rsidR="001B5E52" w:rsidTr="00CF1BC0">
        <w:tc>
          <w:tcPr>
            <w:tcW w:w="7555" w:type="dxa"/>
          </w:tcPr>
          <w:p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22-32; 161-162</w:t>
            </w: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72-82</w:t>
            </w: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90-95</w:t>
            </w:r>
          </w:p>
        </w:tc>
      </w:tr>
      <w:tr w:rsidR="001B5E52" w:rsidTr="00CF1BC0">
        <w:tc>
          <w:tcPr>
            <w:tcW w:w="7555" w:type="dxa"/>
          </w:tcPr>
          <w:p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AC09DF" w:rsidP="004E6690">
            <w:pPr>
              <w:rPr>
                <w:rFonts w:ascii="Open Sans" w:eastAsia="Times New Roman" w:hAnsi="Open Sans" w:cs="Open Sans"/>
                <w:sz w:val="20"/>
                <w:szCs w:val="20"/>
              </w:rPr>
            </w:pPr>
            <w:r>
              <w:rPr>
                <w:rFonts w:ascii="Open Sans" w:eastAsia="Times New Roman" w:hAnsi="Open Sans" w:cs="Open Sans"/>
                <w:sz w:val="20"/>
                <w:szCs w:val="20"/>
              </w:rPr>
              <w:t>Pgs. 95-98</w:t>
            </w: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80-81; 83</w:t>
            </w: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102; 157</w:t>
            </w: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82-83; 238-243</w:t>
            </w:r>
          </w:p>
        </w:tc>
      </w:tr>
      <w:tr w:rsidR="006C7ECF" w:rsidTr="00CF1BC0">
        <w:tc>
          <w:tcPr>
            <w:tcW w:w="7555" w:type="dxa"/>
          </w:tcPr>
          <w:p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45; 80-81; 100-102</w:t>
            </w: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111-112</w:t>
            </w: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111-112</w:t>
            </w: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115-119</w:t>
            </w: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266-273</w:t>
            </w: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266-273; 277-278</w:t>
            </w: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197-198; 368-369</w:t>
            </w:r>
          </w:p>
        </w:tc>
      </w:tr>
      <w:tr w:rsidR="006C7ECF" w:rsidTr="00CF1BC0">
        <w:tc>
          <w:tcPr>
            <w:tcW w:w="7555" w:type="dxa"/>
          </w:tcPr>
          <w:p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 370</w:t>
            </w: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Chapter 20</w:t>
            </w: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56; 370</w:t>
            </w: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201-207</w:t>
            </w:r>
          </w:p>
        </w:tc>
      </w:tr>
      <w:tr w:rsidR="006C7ECF" w:rsidTr="00CF1BC0">
        <w:tc>
          <w:tcPr>
            <w:tcW w:w="7555" w:type="dxa"/>
          </w:tcPr>
          <w:p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8F14E3" w:rsidP="004E6690">
            <w:pPr>
              <w:rPr>
                <w:rFonts w:ascii="Open Sans" w:eastAsia="Times New Roman" w:hAnsi="Open Sans" w:cs="Open Sans"/>
                <w:sz w:val="20"/>
                <w:szCs w:val="20"/>
              </w:rPr>
            </w:pPr>
            <w:r>
              <w:rPr>
                <w:rFonts w:ascii="Open Sans" w:eastAsia="Times New Roman" w:hAnsi="Open Sans" w:cs="Open Sans"/>
                <w:sz w:val="20"/>
                <w:szCs w:val="20"/>
              </w:rPr>
              <w:t>Pgs. 216-225</w:t>
            </w:r>
          </w:p>
        </w:tc>
      </w:tr>
      <w:tr w:rsidR="006C7ECF" w:rsidTr="00CF1BC0">
        <w:tc>
          <w:tcPr>
            <w:tcW w:w="7555" w:type="dxa"/>
          </w:tcPr>
          <w:p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 217</w:t>
            </w: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Pgs. 315-320</w:t>
            </w: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Pgs. 327-328; 336-339</w:t>
            </w: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Pgs. 12; 30; 309</w:t>
            </w: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Pgs. 347-350</w:t>
            </w: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Chapter 27</w:t>
            </w: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Pgs. 502-504</w:t>
            </w:r>
          </w:p>
        </w:tc>
      </w:tr>
      <w:tr w:rsidR="006C7ECF" w:rsidTr="00CF1BC0">
        <w:tc>
          <w:tcPr>
            <w:tcW w:w="7555" w:type="dxa"/>
          </w:tcPr>
          <w:p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Chapter 28</w:t>
            </w: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911009" w:rsidP="004E6690">
            <w:pPr>
              <w:rPr>
                <w:rFonts w:ascii="Open Sans" w:eastAsia="Times New Roman" w:hAnsi="Open Sans" w:cs="Open Sans"/>
                <w:sz w:val="20"/>
                <w:szCs w:val="20"/>
              </w:rPr>
            </w:pPr>
            <w:r>
              <w:rPr>
                <w:rFonts w:ascii="Open Sans" w:eastAsia="Times New Roman" w:hAnsi="Open Sans" w:cs="Open Sans"/>
                <w:sz w:val="20"/>
                <w:szCs w:val="20"/>
              </w:rPr>
              <w:t>Chapter 28</w:t>
            </w: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decision-making process.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three motivational management techniques that do not include money and describe the characteristics of the situation in which each may be chosen to motivate employees.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903D80">
        <w:tc>
          <w:tcPr>
            <w:tcW w:w="12950" w:type="dxa"/>
            <w:gridSpan w:val="4"/>
            <w:shd w:val="clear" w:color="auto" w:fill="F2F2F2" w:themeFill="background1" w:themeFillShade="F2"/>
          </w:tcPr>
          <w:p w:rsidR="00665349" w:rsidRPr="00F30CEA" w:rsidRDefault="00665349" w:rsidP="00903D8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903D80">
        <w:tc>
          <w:tcPr>
            <w:tcW w:w="7555" w:type="dxa"/>
            <w:shd w:val="clear" w:color="auto" w:fill="F2F2F2" w:themeFill="background1" w:themeFillShade="F2"/>
          </w:tcPr>
          <w:p w:rsidR="00665349" w:rsidRPr="00F30CEA" w:rsidRDefault="00665349" w:rsidP="00903D8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903D8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903D8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903D8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903D80">
        <w:tc>
          <w:tcPr>
            <w:tcW w:w="7555" w:type="dxa"/>
          </w:tcPr>
          <w:p w:rsidR="00665349" w:rsidRPr="008C7DB3" w:rsidRDefault="00B6452E" w:rsidP="00903D80">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industry with those found the past</w:t>
            </w:r>
            <w:r w:rsidR="000663D5">
              <w:t>.</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Pr="008C7DB3" w:rsidRDefault="00B6452E" w:rsidP="00903D80">
            <w:pPr>
              <w:pStyle w:val="ListParagraph"/>
              <w:numPr>
                <w:ilvl w:val="0"/>
                <w:numId w:val="14"/>
              </w:numPr>
              <w:rPr>
                <w:rFonts w:ascii="Open Sans" w:eastAsia="Times New Roman" w:hAnsi="Open Sans" w:cs="Open Sans"/>
                <w:sz w:val="20"/>
                <w:szCs w:val="20"/>
              </w:rPr>
            </w:pPr>
            <w:r>
              <w:t>Research careers within the advertising and public relations industry, and document educational requirements as well as state and national guidelines governing practicing professionals (such as licensing, certifications, training, compliance). Identify potential training programs, schools, and examinations appropriate to obtain required credentials for a specific occupation.</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Pr="008C7DB3" w:rsidRDefault="00B6452E" w:rsidP="00903D80">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Pr="008C7DB3" w:rsidRDefault="00B6452E" w:rsidP="00903D80">
            <w:pPr>
              <w:pStyle w:val="ListParagraph"/>
              <w:numPr>
                <w:ilvl w:val="0"/>
                <w:numId w:val="14"/>
              </w:numPr>
              <w:rPr>
                <w:rFonts w:ascii="Open Sans" w:eastAsia="Times New Roman" w:hAnsi="Open Sans" w:cs="Open Sans"/>
                <w:sz w:val="20"/>
                <w:szCs w:val="20"/>
              </w:rPr>
            </w:pPr>
            <w:r>
              <w:t>Identify and describe characteristics of classifications of market segmentation (such as demographics, psychographics, and geographics); analyze multiple case studies to draw conclusions and write a narrative explaining the benefits of segmentation for consumer messaging.</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Pr="008C7DB3" w:rsidRDefault="00B6452E" w:rsidP="00903D80">
            <w:pPr>
              <w:pStyle w:val="ListParagraph"/>
              <w:numPr>
                <w:ilvl w:val="0"/>
                <w:numId w:val="14"/>
              </w:numPr>
              <w:rPr>
                <w:rFonts w:ascii="Open Sans" w:eastAsia="Times New Roman" w:hAnsi="Open Sans" w:cs="Open Sans"/>
                <w:sz w:val="20"/>
                <w:szCs w:val="20"/>
              </w:rPr>
            </w:pPr>
            <w:r>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B6452E" w:rsidP="00903D80">
            <w:pPr>
              <w:pStyle w:val="ListParagraph"/>
              <w:numPr>
                <w:ilvl w:val="0"/>
                <w:numId w:val="14"/>
              </w:numPr>
            </w:pPr>
            <w:r>
              <w:t>Define characteristics and implications for each of the four steps of the AIDA (Attention, Interest, Desire, Action) formula. In groups, select a product and create example consumer engagement strategies that apply to each step</w:t>
            </w:r>
            <w:r w:rsidR="000663D5">
              <w:t>.</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B6452E" w:rsidP="00903D80">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Distinguish between promotional and institutional advertising by creating examples of each for a local company or nonprofit organization.</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Write an informative narrative summarizing how media costs are determined, citing specific textual evidence and using domain-specific language. Include factors that affect media rates and methods to compare rates.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benefit from perceived consumer value</w:t>
            </w:r>
            <w:r w:rsidR="000663D5">
              <w:t>.</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strategies that will result in effective brand promotion and customer interaction based on product and market characteristics.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0663D5">
            <w:pPr>
              <w:pStyle w:val="ListParagraph"/>
              <w:numPr>
                <w:ilvl w:val="0"/>
                <w:numId w:val="14"/>
              </w:numPr>
            </w:pPr>
            <w:r>
              <w:t>Identify and describe characteristics of essential features of a product website, including visual components, navigation features, and optimization for search engines. Create a rubric to evaluate the effectiveness of a website’s design and interactive features</w:t>
            </w:r>
            <w:r w:rsidR="000663D5">
              <w:t>.</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665349" w:rsidTr="00903D80">
        <w:tc>
          <w:tcPr>
            <w:tcW w:w="7555" w:type="dxa"/>
          </w:tcPr>
          <w:p w:rsidR="00665349" w:rsidRDefault="00EA416D" w:rsidP="00903D80">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rsidR="00665349" w:rsidRDefault="00665349" w:rsidP="00903D80">
            <w:pPr>
              <w:rPr>
                <w:rFonts w:ascii="Open Sans" w:eastAsia="Times New Roman" w:hAnsi="Open Sans" w:cs="Open Sans"/>
                <w:sz w:val="20"/>
                <w:szCs w:val="20"/>
              </w:rPr>
            </w:pPr>
          </w:p>
        </w:tc>
        <w:tc>
          <w:tcPr>
            <w:tcW w:w="630" w:type="dxa"/>
          </w:tcPr>
          <w:p w:rsidR="00665349" w:rsidRDefault="00665349" w:rsidP="00903D80">
            <w:pPr>
              <w:rPr>
                <w:rFonts w:ascii="Open Sans" w:eastAsia="Times New Roman" w:hAnsi="Open Sans" w:cs="Open Sans"/>
                <w:sz w:val="20"/>
                <w:szCs w:val="20"/>
              </w:rPr>
            </w:pPr>
          </w:p>
        </w:tc>
        <w:tc>
          <w:tcPr>
            <w:tcW w:w="4135" w:type="dxa"/>
          </w:tcPr>
          <w:p w:rsidR="00665349" w:rsidRDefault="00665349" w:rsidP="00903D80">
            <w:pPr>
              <w:rPr>
                <w:rFonts w:ascii="Open Sans" w:eastAsia="Times New Roman" w:hAnsi="Open Sans" w:cs="Open Sans"/>
                <w:sz w:val="20"/>
                <w:szCs w:val="20"/>
              </w:rPr>
            </w:pPr>
          </w:p>
        </w:tc>
      </w:tr>
      <w:tr w:rsidR="00EA416D" w:rsidTr="00903D80">
        <w:tc>
          <w:tcPr>
            <w:tcW w:w="7555" w:type="dxa"/>
          </w:tcPr>
          <w:p w:rsidR="00EA416D" w:rsidRDefault="00EA416D" w:rsidP="00903D80">
            <w:pPr>
              <w:pStyle w:val="ListParagraph"/>
              <w:numPr>
                <w:ilvl w:val="0"/>
                <w:numId w:val="14"/>
              </w:numPr>
            </w:pPr>
            <w:r>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rsidR="00EA416D" w:rsidRDefault="00EA416D" w:rsidP="00903D80">
            <w:pPr>
              <w:rPr>
                <w:rFonts w:ascii="Open Sans" w:eastAsia="Times New Roman" w:hAnsi="Open Sans" w:cs="Open Sans"/>
                <w:sz w:val="20"/>
                <w:szCs w:val="20"/>
              </w:rPr>
            </w:pPr>
          </w:p>
        </w:tc>
        <w:tc>
          <w:tcPr>
            <w:tcW w:w="630" w:type="dxa"/>
          </w:tcPr>
          <w:p w:rsidR="00EA416D" w:rsidRDefault="00EA416D" w:rsidP="00903D80">
            <w:pPr>
              <w:rPr>
                <w:rFonts w:ascii="Open Sans" w:eastAsia="Times New Roman" w:hAnsi="Open Sans" w:cs="Open Sans"/>
                <w:sz w:val="20"/>
                <w:szCs w:val="20"/>
              </w:rPr>
            </w:pPr>
          </w:p>
        </w:tc>
        <w:tc>
          <w:tcPr>
            <w:tcW w:w="4135" w:type="dxa"/>
          </w:tcPr>
          <w:p w:rsidR="00EA416D" w:rsidRDefault="00EA416D" w:rsidP="00903D80">
            <w:pPr>
              <w:rPr>
                <w:rFonts w:ascii="Open Sans" w:eastAsia="Times New Roman" w:hAnsi="Open Sans" w:cs="Open Sans"/>
                <w:sz w:val="20"/>
                <w:szCs w:val="20"/>
              </w:rPr>
            </w:pPr>
          </w:p>
        </w:tc>
      </w:tr>
      <w:tr w:rsidR="00EA416D" w:rsidTr="00903D80">
        <w:tc>
          <w:tcPr>
            <w:tcW w:w="7555" w:type="dxa"/>
          </w:tcPr>
          <w:p w:rsidR="00EA416D" w:rsidRDefault="00FD4943" w:rsidP="00903D80">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rsidR="00EA416D" w:rsidRDefault="00EA416D" w:rsidP="00903D80">
            <w:pPr>
              <w:rPr>
                <w:rFonts w:ascii="Open Sans" w:eastAsia="Times New Roman" w:hAnsi="Open Sans" w:cs="Open Sans"/>
                <w:sz w:val="20"/>
                <w:szCs w:val="20"/>
              </w:rPr>
            </w:pPr>
          </w:p>
        </w:tc>
        <w:tc>
          <w:tcPr>
            <w:tcW w:w="630" w:type="dxa"/>
          </w:tcPr>
          <w:p w:rsidR="00EA416D" w:rsidRDefault="00EA416D" w:rsidP="00903D80">
            <w:pPr>
              <w:rPr>
                <w:rFonts w:ascii="Open Sans" w:eastAsia="Times New Roman" w:hAnsi="Open Sans" w:cs="Open Sans"/>
                <w:sz w:val="20"/>
                <w:szCs w:val="20"/>
              </w:rPr>
            </w:pPr>
          </w:p>
        </w:tc>
        <w:tc>
          <w:tcPr>
            <w:tcW w:w="4135" w:type="dxa"/>
          </w:tcPr>
          <w:p w:rsidR="00EA416D" w:rsidRDefault="00EA416D"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Design a survey with a focus on product or service improvement; collect survey data, and interpret, analyze, and report key survey findings through charts or graphs. Write an argumentative essay that outlines recommendations for specific improvements, citing evidence found in survey findings.</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Through the analysis of case studies, discuss the role of public relations in the promotional mix and identify various types of public relations strategies. 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r w:rsidR="00FD4943" w:rsidTr="00903D80">
        <w:tc>
          <w:tcPr>
            <w:tcW w:w="7555" w:type="dxa"/>
          </w:tcPr>
          <w:p w:rsidR="00FD4943" w:rsidRDefault="00FD4943" w:rsidP="00903D80">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rsidR="00FD4943" w:rsidRDefault="00FD4943" w:rsidP="00903D80">
            <w:pPr>
              <w:rPr>
                <w:rFonts w:ascii="Open Sans" w:eastAsia="Times New Roman" w:hAnsi="Open Sans" w:cs="Open Sans"/>
                <w:sz w:val="20"/>
                <w:szCs w:val="20"/>
              </w:rPr>
            </w:pPr>
          </w:p>
        </w:tc>
        <w:tc>
          <w:tcPr>
            <w:tcW w:w="630" w:type="dxa"/>
          </w:tcPr>
          <w:p w:rsidR="00FD4943" w:rsidRDefault="00FD4943" w:rsidP="00903D80">
            <w:pPr>
              <w:rPr>
                <w:rFonts w:ascii="Open Sans" w:eastAsia="Times New Roman" w:hAnsi="Open Sans" w:cs="Open Sans"/>
                <w:sz w:val="20"/>
                <w:szCs w:val="20"/>
              </w:rPr>
            </w:pPr>
          </w:p>
        </w:tc>
        <w:tc>
          <w:tcPr>
            <w:tcW w:w="4135" w:type="dxa"/>
          </w:tcPr>
          <w:p w:rsidR="00FD4943" w:rsidRDefault="00FD4943" w:rsidP="00903D80">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rsidTr="00903D80">
        <w:tc>
          <w:tcPr>
            <w:tcW w:w="12950" w:type="dxa"/>
            <w:gridSpan w:val="4"/>
            <w:shd w:val="clear" w:color="auto" w:fill="F2F2F2" w:themeFill="background1" w:themeFillShade="F2"/>
          </w:tcPr>
          <w:p w:rsidR="00236761" w:rsidRPr="00F30CEA" w:rsidRDefault="00236761" w:rsidP="00903D8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rsidTr="00903D80">
        <w:tc>
          <w:tcPr>
            <w:tcW w:w="7555" w:type="dxa"/>
            <w:shd w:val="clear" w:color="auto" w:fill="F2F2F2" w:themeFill="background1" w:themeFillShade="F2"/>
          </w:tcPr>
          <w:p w:rsidR="00236761" w:rsidRPr="00F30CEA" w:rsidRDefault="00236761" w:rsidP="00903D8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236761" w:rsidRPr="00F30CEA" w:rsidRDefault="00236761" w:rsidP="00903D8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236761" w:rsidRPr="00F30CEA" w:rsidRDefault="00236761" w:rsidP="00903D8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236761" w:rsidRDefault="00236761" w:rsidP="00903D8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rsidTr="00903D80">
        <w:tc>
          <w:tcPr>
            <w:tcW w:w="7555" w:type="dxa"/>
          </w:tcPr>
          <w:p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Using print, online, and/or personal interview sources, develop a career profile for at least three occupations (managerial level or above) found in national or international retail businesses. Capture, at minimum, the following: a. Job description b. Essential knowledge and skills needed for the career c. Program or path of study to reach occupational goals, high school through postsecondary (colleges of applied technology, community colleges, and four-year universities) d. Licensure and credentialing 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Pr="000663D5" w:rsidRDefault="00236761" w:rsidP="00236761">
            <w:pPr>
              <w:pStyle w:val="ListParagraph"/>
              <w:numPr>
                <w:ilvl w:val="0"/>
                <w:numId w:val="17"/>
              </w:numPr>
              <w:rPr>
                <w:rFonts w:ascii="Open Sans" w:eastAsia="Times New Roman" w:hAnsi="Open Sans" w:cs="Open Sans"/>
                <w:sz w:val="20"/>
                <w:szCs w:val="20"/>
              </w:rPr>
            </w:pPr>
            <w:r>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and/or a local business owner using professional presentation techniques.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Research the concept of inventory planning, stock turnover rates, and the buying process. Develop a six-month merchandise plan and open-to-buy for a retail department or product Page 4 category. Prepare a scenario summary accounting for current inventories, current purchases, current expenses, and best and worst case scenarios based on six-month merchandise plan and sales forecast analysis.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retailer or school-based enterprise.</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Investigate the aspects of visual merchandising and relate them to developing a store/brand image. Conduct a study of a local retail store’s use of location, layout, and visual merchandising and evaluate the effectiveness of their plan. Make recommendations for improving their use of these elements to attract a specific target market.</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Construct a marketing plan for a virtual business, school store venue, or career and technical student organization (CTSO) project. Include basic elements such as: a mission statement, SWOT analysis, marketing strategies, product selection, and evaluation process. Describe the marketing mix variables and how they relate to the implementation of the marketing plan.</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customer-buying decisions. Create a training plan for new sales employees. Incorporate relationship marketing methods and the importance of conveying product value to the customer in the training.</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236761" w:rsidTr="00903D80">
        <w:tc>
          <w:tcPr>
            <w:tcW w:w="7555" w:type="dxa"/>
          </w:tcPr>
          <w:p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current events and case studies illustrating the use of social media. Create an original social media campaign based on a local retailer or school based enterprise.</w:t>
            </w:r>
          </w:p>
        </w:tc>
        <w:tc>
          <w:tcPr>
            <w:tcW w:w="630" w:type="dxa"/>
          </w:tcPr>
          <w:p w:rsidR="00236761" w:rsidRDefault="00236761" w:rsidP="00903D80">
            <w:pPr>
              <w:rPr>
                <w:rFonts w:ascii="Open Sans" w:eastAsia="Times New Roman" w:hAnsi="Open Sans" w:cs="Open Sans"/>
                <w:sz w:val="20"/>
                <w:szCs w:val="20"/>
              </w:rPr>
            </w:pPr>
          </w:p>
        </w:tc>
        <w:tc>
          <w:tcPr>
            <w:tcW w:w="630" w:type="dxa"/>
          </w:tcPr>
          <w:p w:rsidR="00236761" w:rsidRDefault="00236761" w:rsidP="00903D80">
            <w:pPr>
              <w:rPr>
                <w:rFonts w:ascii="Open Sans" w:eastAsia="Times New Roman" w:hAnsi="Open Sans" w:cs="Open Sans"/>
                <w:sz w:val="20"/>
                <w:szCs w:val="20"/>
              </w:rPr>
            </w:pPr>
          </w:p>
        </w:tc>
        <w:tc>
          <w:tcPr>
            <w:tcW w:w="4135" w:type="dxa"/>
          </w:tcPr>
          <w:p w:rsidR="00236761" w:rsidRDefault="00236761" w:rsidP="00903D80">
            <w:pPr>
              <w:rPr>
                <w:rFonts w:ascii="Open Sans" w:eastAsia="Times New Roman" w:hAnsi="Open Sans" w:cs="Open Sans"/>
                <w:sz w:val="20"/>
                <w:szCs w:val="20"/>
              </w:rPr>
            </w:pPr>
          </w:p>
        </w:tc>
      </w:tr>
      <w:tr w:rsidR="00350344" w:rsidTr="00903D80">
        <w:tc>
          <w:tcPr>
            <w:tcW w:w="7555" w:type="dxa"/>
          </w:tcPr>
          <w:p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rsidR="00350344" w:rsidRDefault="00350344" w:rsidP="00903D80">
            <w:pPr>
              <w:rPr>
                <w:rFonts w:ascii="Open Sans" w:eastAsia="Times New Roman" w:hAnsi="Open Sans" w:cs="Open Sans"/>
                <w:sz w:val="20"/>
                <w:szCs w:val="20"/>
              </w:rPr>
            </w:pPr>
          </w:p>
        </w:tc>
        <w:tc>
          <w:tcPr>
            <w:tcW w:w="630" w:type="dxa"/>
          </w:tcPr>
          <w:p w:rsidR="00350344" w:rsidRDefault="00350344" w:rsidP="00903D80">
            <w:pPr>
              <w:rPr>
                <w:rFonts w:ascii="Open Sans" w:eastAsia="Times New Roman" w:hAnsi="Open Sans" w:cs="Open Sans"/>
                <w:sz w:val="20"/>
                <w:szCs w:val="20"/>
              </w:rPr>
            </w:pPr>
          </w:p>
        </w:tc>
        <w:tc>
          <w:tcPr>
            <w:tcW w:w="4135" w:type="dxa"/>
          </w:tcPr>
          <w:p w:rsidR="00350344" w:rsidRDefault="00350344" w:rsidP="00903D80">
            <w:pPr>
              <w:rPr>
                <w:rFonts w:ascii="Open Sans" w:eastAsia="Times New Roman" w:hAnsi="Open Sans" w:cs="Open Sans"/>
                <w:sz w:val="20"/>
                <w:szCs w:val="20"/>
              </w:rPr>
            </w:pPr>
          </w:p>
        </w:tc>
      </w:tr>
      <w:tr w:rsidR="00350344" w:rsidTr="00903D80">
        <w:tc>
          <w:tcPr>
            <w:tcW w:w="7555" w:type="dxa"/>
          </w:tcPr>
          <w:p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rsidR="00350344" w:rsidRDefault="00350344" w:rsidP="00903D80">
            <w:pPr>
              <w:rPr>
                <w:rFonts w:ascii="Open Sans" w:eastAsia="Times New Roman" w:hAnsi="Open Sans" w:cs="Open Sans"/>
                <w:sz w:val="20"/>
                <w:szCs w:val="20"/>
              </w:rPr>
            </w:pPr>
          </w:p>
        </w:tc>
        <w:tc>
          <w:tcPr>
            <w:tcW w:w="630" w:type="dxa"/>
          </w:tcPr>
          <w:p w:rsidR="00350344" w:rsidRDefault="00350344" w:rsidP="00903D80">
            <w:pPr>
              <w:rPr>
                <w:rFonts w:ascii="Open Sans" w:eastAsia="Times New Roman" w:hAnsi="Open Sans" w:cs="Open Sans"/>
                <w:sz w:val="20"/>
                <w:szCs w:val="20"/>
              </w:rPr>
            </w:pPr>
          </w:p>
        </w:tc>
        <w:tc>
          <w:tcPr>
            <w:tcW w:w="4135" w:type="dxa"/>
          </w:tcPr>
          <w:p w:rsidR="00350344" w:rsidRDefault="00350344" w:rsidP="00903D80">
            <w:pPr>
              <w:rPr>
                <w:rFonts w:ascii="Open Sans" w:eastAsia="Times New Roman" w:hAnsi="Open Sans" w:cs="Open Sans"/>
                <w:sz w:val="20"/>
                <w:szCs w:val="20"/>
              </w:rPr>
            </w:pPr>
          </w:p>
        </w:tc>
      </w:tr>
      <w:tr w:rsidR="00350344" w:rsidTr="00903D80">
        <w:tc>
          <w:tcPr>
            <w:tcW w:w="7555" w:type="dxa"/>
          </w:tcPr>
          <w:p w:rsidR="00350344" w:rsidRDefault="00350344" w:rsidP="00236761">
            <w:pPr>
              <w:pStyle w:val="ListParagraph"/>
              <w:numPr>
                <w:ilvl w:val="0"/>
                <w:numId w:val="17"/>
              </w:numPr>
            </w:pPr>
            <w:r>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rsidR="00350344" w:rsidRDefault="00350344" w:rsidP="00903D80">
            <w:pPr>
              <w:rPr>
                <w:rFonts w:ascii="Open Sans" w:eastAsia="Times New Roman" w:hAnsi="Open Sans" w:cs="Open Sans"/>
                <w:sz w:val="20"/>
                <w:szCs w:val="20"/>
              </w:rPr>
            </w:pPr>
          </w:p>
        </w:tc>
        <w:tc>
          <w:tcPr>
            <w:tcW w:w="630" w:type="dxa"/>
          </w:tcPr>
          <w:p w:rsidR="00350344" w:rsidRDefault="00350344" w:rsidP="00903D80">
            <w:pPr>
              <w:rPr>
                <w:rFonts w:ascii="Open Sans" w:eastAsia="Times New Roman" w:hAnsi="Open Sans" w:cs="Open Sans"/>
                <w:sz w:val="20"/>
                <w:szCs w:val="20"/>
              </w:rPr>
            </w:pPr>
          </w:p>
        </w:tc>
        <w:tc>
          <w:tcPr>
            <w:tcW w:w="4135" w:type="dxa"/>
          </w:tcPr>
          <w:p w:rsidR="00350344" w:rsidRDefault="00350344" w:rsidP="00903D80">
            <w:pPr>
              <w:rPr>
                <w:rFonts w:ascii="Open Sans" w:eastAsia="Times New Roman" w:hAnsi="Open Sans" w:cs="Open Sans"/>
                <w:sz w:val="20"/>
                <w:szCs w:val="20"/>
              </w:rPr>
            </w:pPr>
          </w:p>
        </w:tc>
      </w:tr>
      <w:tr w:rsidR="00350344" w:rsidTr="00903D80">
        <w:tc>
          <w:tcPr>
            <w:tcW w:w="7555" w:type="dxa"/>
          </w:tcPr>
          <w:p w:rsidR="00350344" w:rsidRDefault="00350344" w:rsidP="00236761">
            <w:pPr>
              <w:pStyle w:val="ListParagraph"/>
              <w:numPr>
                <w:ilvl w:val="0"/>
                <w:numId w:val="17"/>
              </w:numPr>
            </w:pPr>
            <w:r>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rsidR="00350344" w:rsidRDefault="00350344" w:rsidP="00903D80">
            <w:pPr>
              <w:rPr>
                <w:rFonts w:ascii="Open Sans" w:eastAsia="Times New Roman" w:hAnsi="Open Sans" w:cs="Open Sans"/>
                <w:sz w:val="20"/>
                <w:szCs w:val="20"/>
              </w:rPr>
            </w:pPr>
          </w:p>
        </w:tc>
        <w:tc>
          <w:tcPr>
            <w:tcW w:w="630" w:type="dxa"/>
          </w:tcPr>
          <w:p w:rsidR="00350344" w:rsidRDefault="00350344" w:rsidP="00903D80">
            <w:pPr>
              <w:rPr>
                <w:rFonts w:ascii="Open Sans" w:eastAsia="Times New Roman" w:hAnsi="Open Sans" w:cs="Open Sans"/>
                <w:sz w:val="20"/>
                <w:szCs w:val="20"/>
              </w:rPr>
            </w:pPr>
          </w:p>
        </w:tc>
        <w:tc>
          <w:tcPr>
            <w:tcW w:w="4135" w:type="dxa"/>
          </w:tcPr>
          <w:p w:rsidR="00350344" w:rsidRDefault="00350344" w:rsidP="00903D80">
            <w:pPr>
              <w:rPr>
                <w:rFonts w:ascii="Open Sans" w:eastAsia="Times New Roman" w:hAnsi="Open Sans" w:cs="Open Sans"/>
                <w:sz w:val="20"/>
                <w:szCs w:val="20"/>
              </w:rPr>
            </w:pPr>
          </w:p>
        </w:tc>
      </w:tr>
      <w:tr w:rsidR="00350344" w:rsidTr="00903D80">
        <w:tc>
          <w:tcPr>
            <w:tcW w:w="7555" w:type="dxa"/>
          </w:tcPr>
          <w:p w:rsidR="00350344" w:rsidRDefault="00350344" w:rsidP="00236761">
            <w:pPr>
              <w:pStyle w:val="ListParagraph"/>
              <w:numPr>
                <w:ilvl w:val="0"/>
                <w:numId w:val="17"/>
              </w:numPr>
            </w:pPr>
            <w:r>
              <w:t>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Construct a project management toolkit for managers with steps to take and resources available as a guide to making decisions involving ethical issues.</w:t>
            </w:r>
          </w:p>
        </w:tc>
        <w:tc>
          <w:tcPr>
            <w:tcW w:w="630" w:type="dxa"/>
          </w:tcPr>
          <w:p w:rsidR="00350344" w:rsidRDefault="00350344" w:rsidP="00903D80">
            <w:pPr>
              <w:rPr>
                <w:rFonts w:ascii="Open Sans" w:eastAsia="Times New Roman" w:hAnsi="Open Sans" w:cs="Open Sans"/>
                <w:sz w:val="20"/>
                <w:szCs w:val="20"/>
              </w:rPr>
            </w:pPr>
          </w:p>
        </w:tc>
        <w:tc>
          <w:tcPr>
            <w:tcW w:w="630" w:type="dxa"/>
          </w:tcPr>
          <w:p w:rsidR="00350344" w:rsidRDefault="00350344" w:rsidP="00903D80">
            <w:pPr>
              <w:rPr>
                <w:rFonts w:ascii="Open Sans" w:eastAsia="Times New Roman" w:hAnsi="Open Sans" w:cs="Open Sans"/>
                <w:sz w:val="20"/>
                <w:szCs w:val="20"/>
              </w:rPr>
            </w:pPr>
          </w:p>
        </w:tc>
        <w:tc>
          <w:tcPr>
            <w:tcW w:w="4135" w:type="dxa"/>
          </w:tcPr>
          <w:p w:rsidR="00350344" w:rsidRDefault="00350344" w:rsidP="00903D80">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D44899">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D4489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D4489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D4489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D44899">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8E4D64">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D4489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r w:rsidR="008E4D64">
              <w:rPr>
                <w:rFonts w:ascii="Open Sans" w:hAnsi="Open Sans" w:cs="Open Sans"/>
                <w:b/>
                <w:sz w:val="20"/>
                <w:szCs w:val="20"/>
              </w:rPr>
              <w:t>:  There are case studies provided at the beginning of the chapters that are related to the chapter topics.  There is also a “DECA Coach” section at the end of the chapter sections to help students with the related CTSO.</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r w:rsidR="008E4D64">
              <w:rPr>
                <w:rFonts w:ascii="Open Sans" w:hAnsi="Open Sans" w:cs="Open Sans"/>
                <w:b/>
                <w:sz w:val="20"/>
                <w:szCs w:val="20"/>
              </w:rPr>
              <w:t>: There are sections labeled College and Career Portfolio which encourages students to develop a related career portfolio throughout the duration of the course.  Some of the Internet Research sections of the textbook also encourages students to review the professional organizations affiliated with careers introduced within the textbook.</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8E4D64">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03D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C051B7" w:rsidP="00D53761">
            <w:pPr>
              <w:contextualSpacing/>
              <w:rPr>
                <w:rFonts w:ascii="Open Sans" w:hAnsi="Open Sans" w:cs="Open Sans"/>
                <w:sz w:val="20"/>
                <w:szCs w:val="20"/>
              </w:rPr>
            </w:pPr>
            <w:r>
              <w:rPr>
                <w:rFonts w:ascii="Open Sans" w:hAnsi="Open Sans" w:cs="Open Sans"/>
                <w:sz w:val="20"/>
                <w:szCs w:val="20"/>
              </w:rPr>
              <w:t>There are references to reinforce the content through a variety of communication skill development activities.  Students are also challenged to do different teamwork activities related to the content.</w:t>
            </w: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C051B7" w:rsidP="00D53761">
            <w:pPr>
              <w:contextualSpacing/>
              <w:rPr>
                <w:rFonts w:ascii="Open Sans" w:hAnsi="Open Sans" w:cs="Open Sans"/>
                <w:sz w:val="20"/>
                <w:szCs w:val="20"/>
              </w:rPr>
            </w:pPr>
            <w:r>
              <w:rPr>
                <w:rFonts w:ascii="Open Sans" w:hAnsi="Open Sans" w:cs="Open Sans"/>
                <w:sz w:val="20"/>
                <w:szCs w:val="20"/>
              </w:rPr>
              <w:t>DECA activities can be found at the beginning of each chapter.</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C051B7" w:rsidP="00D53761">
            <w:pPr>
              <w:contextualSpacing/>
              <w:rPr>
                <w:rFonts w:ascii="Open Sans" w:hAnsi="Open Sans" w:cs="Open Sans"/>
                <w:sz w:val="20"/>
                <w:szCs w:val="20"/>
              </w:rPr>
            </w:pPr>
            <w:r>
              <w:rPr>
                <w:rFonts w:ascii="Open Sans" w:hAnsi="Open Sans" w:cs="Open Sans"/>
                <w:sz w:val="20"/>
                <w:szCs w:val="20"/>
              </w:rPr>
              <w:t xml:space="preserve">This textbook can serve as a good resource to use within the foundational level of the Marketing pathway as it presents a variety of topics that may interest students. </w:t>
            </w: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9D3673" w:rsidP="00D53761">
            <w:pPr>
              <w:contextualSpacing/>
              <w:rPr>
                <w:rFonts w:ascii="Open Sans" w:hAnsi="Open Sans" w:cs="Open Sans"/>
                <w:sz w:val="20"/>
                <w:szCs w:val="20"/>
              </w:rPr>
            </w:pPr>
            <w:r>
              <w:rPr>
                <w:rFonts w:ascii="Open Sans" w:hAnsi="Open Sans" w:cs="Open Sans"/>
                <w:sz w:val="20"/>
                <w:szCs w:val="20"/>
              </w:rPr>
              <w:t>There is a document labeled “Curriculum Sequencing” that will aide instructors in the scope and sequencing process.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051B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56852" w:rsidP="00D53761">
            <w:pPr>
              <w:contextualSpacing/>
              <w:rPr>
                <w:rFonts w:ascii="Open Sans" w:hAnsi="Open Sans" w:cs="Open Sans"/>
                <w:sz w:val="20"/>
                <w:szCs w:val="20"/>
              </w:rPr>
            </w:pPr>
            <w:r>
              <w:rPr>
                <w:rFonts w:ascii="Open Sans" w:hAnsi="Open Sans" w:cs="Open Sans"/>
                <w:sz w:val="20"/>
                <w:szCs w:val="20"/>
              </w:rPr>
              <w:t xml:space="preserve">There are lesson plans, resources, </w:t>
            </w:r>
            <w:r w:rsidR="009D3673">
              <w:rPr>
                <w:rFonts w:ascii="Open Sans" w:hAnsi="Open Sans" w:cs="Open Sans"/>
                <w:sz w:val="20"/>
                <w:szCs w:val="20"/>
              </w:rPr>
              <w:t>presentations, keys for assessments, etc. in the instructor’s companion site.</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9D3673" w:rsidP="00D53761">
            <w:pPr>
              <w:contextualSpacing/>
              <w:rPr>
                <w:rFonts w:ascii="Open Sans" w:hAnsi="Open Sans" w:cs="Open Sans"/>
                <w:sz w:val="20"/>
                <w:szCs w:val="20"/>
              </w:rPr>
            </w:pPr>
            <w:r>
              <w:rPr>
                <w:rFonts w:ascii="Open Sans" w:hAnsi="Open Sans" w:cs="Open Sans"/>
                <w:sz w:val="20"/>
                <w:szCs w:val="20"/>
              </w:rPr>
              <w:t>There are clear instructions provided that will be useful for an instructor of the course.</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84E66">
              <w:rPr>
                <w:rFonts w:ascii="Open Sans" w:hAnsi="Open Sans" w:cs="Open Sans"/>
                <w:sz w:val="20"/>
                <w:szCs w:val="20"/>
              </w:rPr>
              <w:t>2</w:t>
            </w:r>
            <w:r w:rsidRPr="00D53761">
              <w:rPr>
                <w:rFonts w:ascii="Open Sans" w:hAnsi="Open Sans" w:cs="Open Sans"/>
                <w:sz w:val="20"/>
                <w:szCs w:val="20"/>
              </w:rPr>
              <w:t xml:space="preserve">      </w:t>
            </w:r>
            <w:r w:rsidRPr="00984E6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984E66" w:rsidP="00D53761">
            <w:pPr>
              <w:contextualSpacing/>
              <w:rPr>
                <w:rFonts w:ascii="Open Sans" w:hAnsi="Open Sans" w:cs="Open Sans"/>
                <w:sz w:val="20"/>
                <w:szCs w:val="20"/>
              </w:rPr>
            </w:pPr>
            <w:r>
              <w:rPr>
                <w:rFonts w:ascii="Open Sans" w:hAnsi="Open Sans" w:cs="Open Sans"/>
                <w:sz w:val="20"/>
                <w:szCs w:val="20"/>
              </w:rPr>
              <w:t xml:space="preserve">There are several activities teachers can adapt to different learning styles.  Although the learning styles are not directly labeled, the </w:t>
            </w:r>
            <w:bookmarkStart w:id="0" w:name="_GoBack"/>
            <w:bookmarkEnd w:id="0"/>
            <w:r>
              <w:rPr>
                <w:rFonts w:ascii="Open Sans" w:hAnsi="Open Sans" w:cs="Open Sans"/>
                <w:sz w:val="20"/>
                <w:szCs w:val="20"/>
              </w:rPr>
              <w:t xml:space="preserve">lesson plans are detailed enough for </w:t>
            </w:r>
            <w:r w:rsidR="00420657">
              <w:rPr>
                <w:rFonts w:ascii="Open Sans" w:hAnsi="Open Sans" w:cs="Open Sans"/>
                <w:sz w:val="20"/>
                <w:szCs w:val="20"/>
              </w:rPr>
              <w:t>instructo</w:t>
            </w:r>
            <w:r>
              <w:rPr>
                <w:rFonts w:ascii="Open Sans" w:hAnsi="Open Sans" w:cs="Open Sans"/>
                <w:sz w:val="20"/>
                <w:szCs w:val="20"/>
              </w:rPr>
              <w:t>rs to adapt.</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9D3673" w:rsidP="00D53761">
            <w:pPr>
              <w:contextualSpacing/>
              <w:rPr>
                <w:rFonts w:ascii="Open Sans" w:hAnsi="Open Sans" w:cs="Open Sans"/>
                <w:sz w:val="20"/>
                <w:szCs w:val="20"/>
              </w:rPr>
            </w:pPr>
            <w:r>
              <w:rPr>
                <w:rFonts w:ascii="Open Sans" w:hAnsi="Open Sans" w:cs="Open Sans"/>
                <w:sz w:val="20"/>
                <w:szCs w:val="20"/>
              </w:rPr>
              <w:t xml:space="preserve">There are assessment preparation materials available for students to practice for certification exams.  </w:t>
            </w: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D367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55F73"/>
    <w:rsid w:val="001602D8"/>
    <w:rsid w:val="00185176"/>
    <w:rsid w:val="001A0833"/>
    <w:rsid w:val="001A4FF2"/>
    <w:rsid w:val="001B02DE"/>
    <w:rsid w:val="001B3FEA"/>
    <w:rsid w:val="001B5E52"/>
    <w:rsid w:val="00236761"/>
    <w:rsid w:val="00237515"/>
    <w:rsid w:val="002D0902"/>
    <w:rsid w:val="00350344"/>
    <w:rsid w:val="003965B7"/>
    <w:rsid w:val="003C02AC"/>
    <w:rsid w:val="004079F5"/>
    <w:rsid w:val="00415672"/>
    <w:rsid w:val="00420657"/>
    <w:rsid w:val="00421523"/>
    <w:rsid w:val="0043492C"/>
    <w:rsid w:val="00465233"/>
    <w:rsid w:val="00473800"/>
    <w:rsid w:val="004759E2"/>
    <w:rsid w:val="004E6690"/>
    <w:rsid w:val="005D7F02"/>
    <w:rsid w:val="006061C5"/>
    <w:rsid w:val="006240A2"/>
    <w:rsid w:val="00642569"/>
    <w:rsid w:val="00665349"/>
    <w:rsid w:val="006A1A1A"/>
    <w:rsid w:val="006B2D51"/>
    <w:rsid w:val="006C7ECF"/>
    <w:rsid w:val="006D23A5"/>
    <w:rsid w:val="006E539D"/>
    <w:rsid w:val="006F3C74"/>
    <w:rsid w:val="007125FD"/>
    <w:rsid w:val="00730420"/>
    <w:rsid w:val="007728F3"/>
    <w:rsid w:val="0078544F"/>
    <w:rsid w:val="0079761C"/>
    <w:rsid w:val="007C21F4"/>
    <w:rsid w:val="00871B0B"/>
    <w:rsid w:val="008B526F"/>
    <w:rsid w:val="008C4C6B"/>
    <w:rsid w:val="008C71E0"/>
    <w:rsid w:val="008C7DB3"/>
    <w:rsid w:val="008E4D64"/>
    <w:rsid w:val="008F0203"/>
    <w:rsid w:val="008F14E3"/>
    <w:rsid w:val="00903D80"/>
    <w:rsid w:val="00911009"/>
    <w:rsid w:val="00911CDD"/>
    <w:rsid w:val="00962F07"/>
    <w:rsid w:val="00981326"/>
    <w:rsid w:val="00984E66"/>
    <w:rsid w:val="009D3673"/>
    <w:rsid w:val="009E30A6"/>
    <w:rsid w:val="00A869AB"/>
    <w:rsid w:val="00AB444A"/>
    <w:rsid w:val="00AC09DF"/>
    <w:rsid w:val="00B31E0B"/>
    <w:rsid w:val="00B564D1"/>
    <w:rsid w:val="00B6452E"/>
    <w:rsid w:val="00B8163C"/>
    <w:rsid w:val="00B9770E"/>
    <w:rsid w:val="00BD417F"/>
    <w:rsid w:val="00C033C2"/>
    <w:rsid w:val="00C051B7"/>
    <w:rsid w:val="00C25F66"/>
    <w:rsid w:val="00C3750F"/>
    <w:rsid w:val="00C4526C"/>
    <w:rsid w:val="00C56852"/>
    <w:rsid w:val="00CE0E9C"/>
    <w:rsid w:val="00CF1BC0"/>
    <w:rsid w:val="00D11A14"/>
    <w:rsid w:val="00D44899"/>
    <w:rsid w:val="00D53761"/>
    <w:rsid w:val="00D73280"/>
    <w:rsid w:val="00DE024E"/>
    <w:rsid w:val="00DF7998"/>
    <w:rsid w:val="00E45E61"/>
    <w:rsid w:val="00E70F53"/>
    <w:rsid w:val="00EA416D"/>
    <w:rsid w:val="00EB1010"/>
    <w:rsid w:val="00EC66BB"/>
    <w:rsid w:val="00ED3FD4"/>
    <w:rsid w:val="00EF5194"/>
    <w:rsid w:val="00F30CEA"/>
    <w:rsid w:val="00F428B8"/>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583C0-191A-41B3-9983-A40F93CA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9551</Words>
  <Characters>54445</Characters>
  <Application>Microsoft Office Word</Application>
  <DocSecurity>4</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2018-08-21T18:43:00Z</dcterms:created>
  <dcterms:modified xsi:type="dcterms:W3CDTF">2018-08-21T18:43:00Z</dcterms:modified>
</cp:coreProperties>
</file>