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B968C"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11AB993C" wp14:editId="11AB993D">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11AB968D" w14:textId="77777777" w:rsidR="00EF5194" w:rsidRPr="00EF5194" w:rsidRDefault="004E6690" w:rsidP="00EF5194">
      <w:pPr>
        <w:spacing w:after="0" w:line="240" w:lineRule="auto"/>
        <w:jc w:val="center"/>
        <w:rPr>
          <w:b/>
          <w:sz w:val="28"/>
        </w:rPr>
      </w:pPr>
      <w:r>
        <w:rPr>
          <w:b/>
          <w:sz w:val="28"/>
        </w:rPr>
        <w:t>ACCOUNTING</w:t>
      </w:r>
      <w:r w:rsidR="00EF5194" w:rsidRPr="00EF5194">
        <w:rPr>
          <w:b/>
          <w:sz w:val="28"/>
        </w:rPr>
        <w:t xml:space="preserve"> PROGRAM OF STUDY</w:t>
      </w:r>
    </w:p>
    <w:p w14:paraId="11AB968E" w14:textId="77777777" w:rsidR="00EF5194" w:rsidRPr="00EF5194" w:rsidRDefault="004E6690" w:rsidP="00EF5194">
      <w:pPr>
        <w:spacing w:after="0" w:line="240" w:lineRule="auto"/>
        <w:jc w:val="center"/>
        <w:rPr>
          <w:b/>
          <w:sz w:val="28"/>
        </w:rPr>
      </w:pPr>
      <w:r>
        <w:rPr>
          <w:b/>
          <w:sz w:val="28"/>
        </w:rPr>
        <w:t>FINANCE</w:t>
      </w:r>
      <w:r w:rsidR="00EF5194" w:rsidRPr="00EF5194">
        <w:rPr>
          <w:b/>
          <w:sz w:val="28"/>
        </w:rPr>
        <w:t xml:space="preserve"> CAREER CLUSTER</w:t>
      </w:r>
    </w:p>
    <w:p w14:paraId="11AB968F"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11AB9691" w14:textId="77777777" w:rsidTr="004E6690">
        <w:tc>
          <w:tcPr>
            <w:tcW w:w="13176" w:type="dxa"/>
            <w:shd w:val="clear" w:color="auto" w:fill="F2F2F2" w:themeFill="background1" w:themeFillShade="F2"/>
          </w:tcPr>
          <w:p w14:paraId="11AB9690"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11AB96A2" w14:textId="77777777" w:rsidTr="004E6690">
        <w:tc>
          <w:tcPr>
            <w:tcW w:w="13176" w:type="dxa"/>
          </w:tcPr>
          <w:p w14:paraId="11AB9692" w14:textId="77777777" w:rsidR="00D53761" w:rsidRPr="00D53761" w:rsidRDefault="00D53761" w:rsidP="00D53761">
            <w:pPr>
              <w:rPr>
                <w:rFonts w:ascii="Open Sans" w:eastAsia="Times New Roman" w:hAnsi="Open Sans" w:cs="Open Sans"/>
                <w:sz w:val="18"/>
                <w:szCs w:val="18"/>
              </w:rPr>
            </w:pPr>
          </w:p>
          <w:p w14:paraId="11AB9693"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11AB9694" w14:textId="77777777" w:rsidR="00D53761" w:rsidRPr="00D53761" w:rsidRDefault="00D53761" w:rsidP="00D53761">
            <w:pPr>
              <w:rPr>
                <w:rFonts w:ascii="Open Sans" w:eastAsia="Times New Roman" w:hAnsi="Open Sans" w:cs="Open Sans"/>
                <w:sz w:val="18"/>
                <w:szCs w:val="18"/>
              </w:rPr>
            </w:pPr>
          </w:p>
          <w:p w14:paraId="11AB9695"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11AB9696" w14:textId="77777777" w:rsidR="00D53761" w:rsidRPr="00D53761" w:rsidRDefault="00D53761" w:rsidP="00D53761">
            <w:pPr>
              <w:rPr>
                <w:rFonts w:ascii="Open Sans" w:eastAsia="Times New Roman" w:hAnsi="Open Sans" w:cs="Open Sans"/>
                <w:sz w:val="18"/>
                <w:szCs w:val="18"/>
              </w:rPr>
            </w:pPr>
          </w:p>
          <w:p w14:paraId="11AB9697"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11AB9698"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11AB9699"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11AB969A" w14:textId="77777777" w:rsidR="00D53761" w:rsidRPr="00D53761" w:rsidRDefault="00D53761" w:rsidP="00D53761">
            <w:pPr>
              <w:rPr>
                <w:rFonts w:ascii="Open Sans" w:eastAsia="Times New Roman" w:hAnsi="Open Sans" w:cs="Open Sans"/>
                <w:sz w:val="18"/>
                <w:szCs w:val="18"/>
              </w:rPr>
            </w:pPr>
          </w:p>
          <w:p w14:paraId="11AB969B"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11AB969C" w14:textId="77777777" w:rsidR="00D53761" w:rsidRPr="00D53761" w:rsidRDefault="00D53761" w:rsidP="00D53761">
            <w:pPr>
              <w:rPr>
                <w:rFonts w:ascii="Open Sans" w:eastAsia="Times New Roman" w:hAnsi="Open Sans" w:cs="Open Sans"/>
                <w:b/>
                <w:sz w:val="18"/>
                <w:szCs w:val="18"/>
              </w:rPr>
            </w:pPr>
          </w:p>
          <w:p w14:paraId="11AB969D"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11AB969E" w14:textId="77777777" w:rsidR="00115038"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ACCOUNTING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5910</w:t>
            </w:r>
            <w:r w:rsidR="000845EB" w:rsidRPr="00E70F53">
              <w:rPr>
                <w:rFonts w:ascii="Open Sans" w:eastAsia="Times New Roman" w:hAnsi="Open Sans" w:cs="Open Sans"/>
                <w:b/>
                <w:sz w:val="18"/>
                <w:szCs w:val="18"/>
              </w:rPr>
              <w:t xml:space="preserve">)        </w:t>
            </w:r>
          </w:p>
          <w:p w14:paraId="11AB969F" w14:textId="77777777" w:rsidR="00C033C2" w:rsidRDefault="001A4FF2" w:rsidP="000845EB">
            <w:pPr>
              <w:spacing w:after="200" w:line="276" w:lineRule="auto"/>
              <w:rPr>
                <w:rFonts w:ascii="Open Sans" w:eastAsia="Times New Roman" w:hAnsi="Open Sans" w:cs="Open Sans"/>
                <w:b/>
                <w:sz w:val="18"/>
                <w:szCs w:val="18"/>
              </w:rPr>
            </w:pPr>
            <w:r w:rsidRPr="006D0B83">
              <w:rPr>
                <w:rFonts w:ascii="Open Sans" w:eastAsia="Times New Roman" w:hAnsi="Open Sans" w:cs="Open Sans"/>
                <w:b/>
                <w:sz w:val="18"/>
                <w:szCs w:val="18"/>
                <w:highlight w:val="yellow"/>
              </w:rPr>
              <w:t>ACCOUNTING II</w:t>
            </w:r>
            <w:r w:rsidR="000845EB" w:rsidRPr="006D0B83">
              <w:rPr>
                <w:rFonts w:ascii="Open Sans" w:eastAsia="Times New Roman" w:hAnsi="Open Sans" w:cs="Open Sans"/>
                <w:b/>
                <w:sz w:val="18"/>
                <w:szCs w:val="18"/>
                <w:highlight w:val="yellow"/>
              </w:rPr>
              <w:t xml:space="preserve"> </w:t>
            </w:r>
            <w:r w:rsidRPr="006D0B83">
              <w:rPr>
                <w:rFonts w:ascii="Open Sans" w:eastAsia="Times New Roman" w:hAnsi="Open Sans" w:cs="Open Sans"/>
                <w:b/>
                <w:sz w:val="18"/>
                <w:szCs w:val="18"/>
                <w:highlight w:val="yellow"/>
              </w:rPr>
              <w:t>(5911</w:t>
            </w:r>
            <w:r w:rsidR="000845EB" w:rsidRPr="006D0B83">
              <w:rPr>
                <w:rFonts w:ascii="Open Sans" w:eastAsia="Times New Roman" w:hAnsi="Open Sans" w:cs="Open Sans"/>
                <w:b/>
                <w:sz w:val="18"/>
                <w:szCs w:val="18"/>
                <w:highlight w:val="yellow"/>
              </w:rPr>
              <w:t>)</w:t>
            </w:r>
            <w:r w:rsidR="000845EB" w:rsidRPr="00E70F53">
              <w:rPr>
                <w:rFonts w:ascii="Open Sans" w:eastAsia="Times New Roman" w:hAnsi="Open Sans" w:cs="Open Sans"/>
                <w:b/>
                <w:sz w:val="18"/>
                <w:szCs w:val="18"/>
              </w:rPr>
              <w:t xml:space="preserve">         </w:t>
            </w:r>
          </w:p>
          <w:p w14:paraId="11AB96A0" w14:textId="77777777" w:rsidR="000845EB" w:rsidRPr="00E70F53"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FINANCIAL PLANNING</w:t>
            </w:r>
            <w:r w:rsidR="0079761C">
              <w:rPr>
                <w:rFonts w:ascii="Open Sans" w:eastAsia="Times New Roman" w:hAnsi="Open Sans" w:cs="Open Sans"/>
                <w:b/>
                <w:sz w:val="18"/>
                <w:szCs w:val="18"/>
              </w:rPr>
              <w:t xml:space="preserve"> (6188</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14:paraId="11AB96A1" w14:textId="77777777" w:rsidR="00D53761" w:rsidRPr="00D53761" w:rsidRDefault="00D53761" w:rsidP="00D53761">
            <w:pPr>
              <w:rPr>
                <w:rFonts w:ascii="Open Sans" w:eastAsia="Times New Roman" w:hAnsi="Open Sans" w:cs="Open Sans"/>
                <w:b/>
                <w:i/>
                <w:sz w:val="18"/>
                <w:szCs w:val="18"/>
              </w:rPr>
            </w:pPr>
          </w:p>
        </w:tc>
      </w:tr>
      <w:tr w:rsidR="004079F5" w:rsidRPr="00D53761" w14:paraId="11AB96A4" w14:textId="77777777" w:rsidTr="004E6690">
        <w:tc>
          <w:tcPr>
            <w:tcW w:w="13176" w:type="dxa"/>
          </w:tcPr>
          <w:p w14:paraId="11AB96A3"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11AB96A6" w14:textId="77777777" w:rsidTr="00981326">
        <w:tc>
          <w:tcPr>
            <w:tcW w:w="13158" w:type="dxa"/>
            <w:shd w:val="clear" w:color="auto" w:fill="F2F2F2" w:themeFill="background1" w:themeFillShade="F2"/>
          </w:tcPr>
          <w:p w14:paraId="11AB96A5"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11AB96AC" w14:textId="77777777" w:rsidTr="00981326">
        <w:tc>
          <w:tcPr>
            <w:tcW w:w="13158" w:type="dxa"/>
          </w:tcPr>
          <w:p w14:paraId="11AB96A7" w14:textId="77777777" w:rsidR="00981326" w:rsidRPr="00D53761" w:rsidRDefault="00981326" w:rsidP="00981326">
            <w:pPr>
              <w:rPr>
                <w:rFonts w:ascii="Open Sans" w:hAnsi="Open Sans" w:cs="Open Sans"/>
                <w:sz w:val="18"/>
                <w:szCs w:val="18"/>
              </w:rPr>
            </w:pPr>
          </w:p>
          <w:p w14:paraId="11AB96A8" w14:textId="7FBEC5CE"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w:t>
            </w:r>
            <w:r w:rsidR="00C3773A">
              <w:t xml:space="preserve"> </w:t>
            </w:r>
            <w:r w:rsidR="00C3773A" w:rsidRPr="00C3773A">
              <w:rPr>
                <w:rFonts w:ascii="Open Sans" w:hAnsi="Open Sans" w:cs="Open Sans"/>
                <w:sz w:val="18"/>
                <w:szCs w:val="18"/>
              </w:rPr>
              <w:t>9781111990640</w:t>
            </w:r>
            <w:r w:rsidR="00C3773A">
              <w:rPr>
                <w:rFonts w:ascii="Open Sans" w:hAnsi="Open Sans" w:cs="Open Sans"/>
                <w:sz w:val="18"/>
                <w:szCs w:val="18"/>
              </w:rPr>
              <w:t xml:space="preserve"> - </w:t>
            </w:r>
            <w:r w:rsidR="00CA620E">
              <w:t xml:space="preserve"> </w:t>
            </w:r>
            <w:r w:rsidR="00CA620E" w:rsidRPr="00CA620E">
              <w:rPr>
                <w:rFonts w:ascii="Open Sans" w:hAnsi="Open Sans" w:cs="Open Sans"/>
                <w:sz w:val="18"/>
                <w:szCs w:val="18"/>
              </w:rPr>
              <w:t xml:space="preserve">Century 21 Accounting : Advanced </w:t>
            </w:r>
            <w:r w:rsidR="00981326" w:rsidRPr="00D53761">
              <w:rPr>
                <w:rFonts w:ascii="Open Sans" w:hAnsi="Open Sans" w:cs="Open Sans"/>
                <w:sz w:val="18"/>
                <w:szCs w:val="18"/>
              </w:rPr>
              <w:t>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CA620E">
              <w:rPr>
                <w:rFonts w:ascii="Open Sans" w:hAnsi="Open Sans" w:cs="Open Sans"/>
                <w:sz w:val="18"/>
                <w:szCs w:val="18"/>
              </w:rPr>
              <w:t xml:space="preserve">5910 – Accounting 2 </w:t>
            </w:r>
            <w:r w:rsidR="000E3170">
              <w:rPr>
                <w:rFonts w:ascii="Open Sans" w:hAnsi="Open Sans" w:cs="Open Sans"/>
                <w:sz w:val="18"/>
                <w:szCs w:val="18"/>
              </w:rPr>
              <w:t>__________________________________________</w:t>
            </w:r>
          </w:p>
          <w:p w14:paraId="11AB96A9" w14:textId="77777777" w:rsidR="00981326" w:rsidRPr="00D53761" w:rsidRDefault="00981326" w:rsidP="00981326">
            <w:pPr>
              <w:rPr>
                <w:rFonts w:ascii="Open Sans" w:hAnsi="Open Sans" w:cs="Open Sans"/>
                <w:sz w:val="18"/>
                <w:szCs w:val="18"/>
              </w:rPr>
            </w:pPr>
          </w:p>
          <w:p w14:paraId="11AB96AA" w14:textId="07354E1B"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w:t>
            </w:r>
            <w:r w:rsidR="00CA620E">
              <w:rPr>
                <w:rFonts w:ascii="Open Sans" w:hAnsi="Open Sans" w:cs="Open Sans"/>
                <w:sz w:val="18"/>
                <w:szCs w:val="18"/>
              </w:rPr>
              <w:t>Cengage</w:t>
            </w:r>
            <w:r w:rsidRPr="00D53761">
              <w:rPr>
                <w:rFonts w:ascii="Open Sans" w:hAnsi="Open Sans" w:cs="Open Sans"/>
                <w:sz w:val="18"/>
                <w:szCs w:val="18"/>
              </w:rPr>
              <w:t>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w:t>
            </w:r>
            <w:r w:rsidR="0035512F">
              <w:rPr>
                <w:rFonts w:ascii="Open Sans" w:hAnsi="Open Sans" w:cs="Open Sans"/>
                <w:sz w:val="18"/>
                <w:szCs w:val="18"/>
              </w:rPr>
              <w:t>2015</w:t>
            </w:r>
            <w:r w:rsidRPr="00D53761">
              <w:rPr>
                <w:rFonts w:ascii="Open Sans" w:hAnsi="Open Sans" w:cs="Open Sans"/>
                <w:sz w:val="18"/>
                <w:szCs w:val="18"/>
              </w:rPr>
              <w:t>__</w:t>
            </w:r>
            <w:r w:rsidR="000E3170">
              <w:rPr>
                <w:rFonts w:ascii="Open Sans" w:hAnsi="Open Sans" w:cs="Open Sans"/>
                <w:sz w:val="18"/>
                <w:szCs w:val="18"/>
              </w:rPr>
              <w:t>________________________</w:t>
            </w:r>
          </w:p>
          <w:p w14:paraId="11AB96AB"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11AB96AE" w14:textId="77777777" w:rsidTr="001A0833">
        <w:tc>
          <w:tcPr>
            <w:tcW w:w="13158" w:type="dxa"/>
            <w:shd w:val="clear" w:color="auto" w:fill="F2F2F2" w:themeFill="background1" w:themeFillShade="F2"/>
          </w:tcPr>
          <w:p w14:paraId="11AB96AD"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11AB96B3" w14:textId="77777777" w:rsidTr="00911CDD">
        <w:trPr>
          <w:trHeight w:val="1896"/>
        </w:trPr>
        <w:tc>
          <w:tcPr>
            <w:tcW w:w="13158" w:type="dxa"/>
          </w:tcPr>
          <w:p w14:paraId="11AB96AF" w14:textId="77777777" w:rsidR="0079761C" w:rsidRDefault="001A4FF2" w:rsidP="001A0833">
            <w:r>
              <w:t>Accounting</w:t>
            </w:r>
            <w:r w:rsidR="008F0203">
              <w:t xml:space="preserve"> </w:t>
            </w:r>
            <w:r w:rsidR="0079761C">
              <w:t xml:space="preserve">program of study is intended to prepare students </w:t>
            </w:r>
            <w:r>
              <w:t xml:space="preserve">for accounting careers, giving them an in-depth knowledge of accounting procedures and their applications to business operations. Students will be proficient in the use of spreadsheet and accounting software. </w:t>
            </w:r>
          </w:p>
          <w:p w14:paraId="11AB96B0" w14:textId="77777777" w:rsidR="0079761C" w:rsidRDefault="0079761C" w:rsidP="001A0833"/>
          <w:p w14:paraId="11AB96B1"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11AB96B2"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11AB96B5" w14:textId="77777777" w:rsidTr="00911CDD">
        <w:tc>
          <w:tcPr>
            <w:tcW w:w="13158" w:type="dxa"/>
            <w:shd w:val="clear" w:color="auto" w:fill="F2F2F2" w:themeFill="background1" w:themeFillShade="F2"/>
          </w:tcPr>
          <w:p w14:paraId="11AB96B4"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11AB96C3" w14:textId="77777777" w:rsidTr="00911CDD">
        <w:tc>
          <w:tcPr>
            <w:tcW w:w="13158" w:type="dxa"/>
          </w:tcPr>
          <w:p w14:paraId="11AB96B6" w14:textId="77777777" w:rsidR="00911CDD" w:rsidRPr="00D53761" w:rsidRDefault="00911CDD" w:rsidP="00911CDD">
            <w:pPr>
              <w:rPr>
                <w:rFonts w:ascii="Open Sans" w:eastAsia="Times New Roman" w:hAnsi="Open Sans" w:cs="Open Sans"/>
                <w:sz w:val="18"/>
                <w:szCs w:val="18"/>
              </w:rPr>
            </w:pPr>
          </w:p>
          <w:p w14:paraId="11AB96B7"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11AB96B8" w14:textId="77777777" w:rsidR="00911CDD" w:rsidRPr="00D53761" w:rsidRDefault="00911CDD" w:rsidP="00911CDD">
            <w:pPr>
              <w:rPr>
                <w:rFonts w:ascii="Open Sans" w:eastAsia="Times New Roman" w:hAnsi="Open Sans" w:cs="Open Sans"/>
                <w:sz w:val="18"/>
                <w:szCs w:val="18"/>
              </w:rPr>
            </w:pPr>
          </w:p>
          <w:p w14:paraId="11AB96B9"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11AB96BA" w14:textId="77777777" w:rsidR="00911CDD" w:rsidRPr="00D53761" w:rsidRDefault="00911CDD" w:rsidP="00911CDD">
            <w:pPr>
              <w:rPr>
                <w:rFonts w:ascii="Open Sans" w:eastAsia="Times New Roman" w:hAnsi="Open Sans" w:cs="Open Sans"/>
                <w:sz w:val="18"/>
                <w:szCs w:val="18"/>
              </w:rPr>
            </w:pPr>
          </w:p>
          <w:p w14:paraId="11AB96B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11AB96BC" w14:textId="77777777" w:rsidR="00911CDD" w:rsidRPr="00D53761" w:rsidRDefault="00911CDD" w:rsidP="00911CDD">
            <w:pPr>
              <w:rPr>
                <w:rFonts w:ascii="Open Sans" w:eastAsia="Times New Roman" w:hAnsi="Open Sans" w:cs="Open Sans"/>
                <w:sz w:val="18"/>
                <w:szCs w:val="18"/>
              </w:rPr>
            </w:pPr>
          </w:p>
          <w:p w14:paraId="11AB96BD"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11AB96BE" w14:textId="77777777" w:rsidR="00911CDD" w:rsidRPr="00D53761" w:rsidRDefault="00911CDD" w:rsidP="00911CDD">
            <w:pPr>
              <w:rPr>
                <w:rFonts w:ascii="Open Sans" w:eastAsia="Times New Roman" w:hAnsi="Open Sans" w:cs="Open Sans"/>
                <w:sz w:val="18"/>
                <w:szCs w:val="18"/>
              </w:rPr>
            </w:pPr>
          </w:p>
          <w:p w14:paraId="11AB96B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11AB96C0" w14:textId="77777777" w:rsidR="00911CDD" w:rsidRPr="00D53761" w:rsidRDefault="00911CDD" w:rsidP="00911CDD">
            <w:pPr>
              <w:rPr>
                <w:rFonts w:ascii="Open Sans" w:eastAsia="Times New Roman" w:hAnsi="Open Sans" w:cs="Open Sans"/>
                <w:sz w:val="18"/>
                <w:szCs w:val="18"/>
              </w:rPr>
            </w:pPr>
          </w:p>
          <w:p w14:paraId="11AB96C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11AB96C2" w14:textId="77777777" w:rsidR="00911CDD" w:rsidRPr="00D53761" w:rsidRDefault="00911CDD" w:rsidP="00911CDD">
            <w:pPr>
              <w:rPr>
                <w:rFonts w:ascii="Open Sans" w:eastAsia="Times New Roman" w:hAnsi="Open Sans" w:cs="Open Sans"/>
                <w:sz w:val="18"/>
                <w:szCs w:val="18"/>
              </w:rPr>
            </w:pPr>
          </w:p>
        </w:tc>
      </w:tr>
    </w:tbl>
    <w:p w14:paraId="11AB96C4" w14:textId="77777777" w:rsidR="00D53761" w:rsidRPr="00D53761" w:rsidRDefault="00D53761" w:rsidP="00D53761">
      <w:pPr>
        <w:rPr>
          <w:rFonts w:ascii="Open Sans" w:hAnsi="Open Sans" w:cs="Open Sans"/>
          <w:sz w:val="20"/>
          <w:szCs w:val="20"/>
        </w:rPr>
      </w:pPr>
    </w:p>
    <w:p w14:paraId="11AB96C5" w14:textId="77777777" w:rsidR="00D53761" w:rsidRPr="00D53761" w:rsidRDefault="00D53761" w:rsidP="00D53761">
      <w:pPr>
        <w:rPr>
          <w:rFonts w:ascii="Open Sans" w:hAnsi="Open Sans" w:cs="Open Sans"/>
          <w:sz w:val="20"/>
          <w:szCs w:val="20"/>
        </w:rPr>
      </w:pPr>
    </w:p>
    <w:p w14:paraId="11AB96C6"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11AB96CA" w14:textId="77777777" w:rsidTr="00981326">
        <w:trPr>
          <w:trHeight w:val="267"/>
        </w:trPr>
        <w:tc>
          <w:tcPr>
            <w:tcW w:w="14109" w:type="dxa"/>
            <w:gridSpan w:val="2"/>
            <w:shd w:val="clear" w:color="auto" w:fill="F2F2F2" w:themeFill="background1" w:themeFillShade="F2"/>
          </w:tcPr>
          <w:p w14:paraId="11AB96C7"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14:paraId="11AB96C8"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11AB96C9"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11AB96CC" w14:textId="77777777" w:rsidTr="00981326">
        <w:trPr>
          <w:trHeight w:val="267"/>
        </w:trPr>
        <w:tc>
          <w:tcPr>
            <w:tcW w:w="14109" w:type="dxa"/>
            <w:gridSpan w:val="2"/>
            <w:shd w:val="clear" w:color="auto" w:fill="F2F2F2" w:themeFill="background1" w:themeFillShade="F2"/>
          </w:tcPr>
          <w:p w14:paraId="11AB96CB"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11AB96DE"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11AB96D0" w14:textId="77777777" w:rsidTr="004E6690">
              <w:trPr>
                <w:trHeight w:val="1007"/>
              </w:trPr>
              <w:tc>
                <w:tcPr>
                  <w:tcW w:w="3754" w:type="pct"/>
                  <w:shd w:val="clear" w:color="auto" w:fill="F2F2F2" w:themeFill="background1" w:themeFillShade="F2"/>
                  <w:vAlign w:val="center"/>
                </w:tcPr>
                <w:p w14:paraId="11AB96CD"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11AB96CE" w14:textId="601024BB"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35512F">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11AB96CF"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11AB96D4" w14:textId="77777777" w:rsidTr="004E6690">
              <w:trPr>
                <w:trHeight w:val="962"/>
              </w:trPr>
              <w:tc>
                <w:tcPr>
                  <w:tcW w:w="3754" w:type="pct"/>
                  <w:shd w:val="clear" w:color="auto" w:fill="F2F2F2" w:themeFill="background1" w:themeFillShade="F2"/>
                  <w:vAlign w:val="center"/>
                </w:tcPr>
                <w:p w14:paraId="11AB96D1"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11AB96D2" w14:textId="665E030E"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35512F">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14:paraId="11AB96D3"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1AB96D8" w14:textId="77777777" w:rsidTr="004E6690">
              <w:trPr>
                <w:trHeight w:val="962"/>
              </w:trPr>
              <w:tc>
                <w:tcPr>
                  <w:tcW w:w="3754" w:type="pct"/>
                  <w:shd w:val="clear" w:color="auto" w:fill="F2F2F2" w:themeFill="background1" w:themeFillShade="F2"/>
                  <w:vAlign w:val="center"/>
                </w:tcPr>
                <w:p w14:paraId="11AB96D5"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11AB96D6" w14:textId="3FA82A38"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35512F">
                    <w:rPr>
                      <w:rFonts w:ascii="Open Sans" w:hAnsi="Open Sans" w:cs="Open Sans"/>
                      <w:b/>
                      <w:sz w:val="20"/>
                      <w:szCs w:val="20"/>
                    </w:rPr>
                    <w:t>X</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11AB96D7"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11AB96DC" w14:textId="77777777" w:rsidTr="004E6690">
              <w:trPr>
                <w:trHeight w:val="890"/>
              </w:trPr>
              <w:tc>
                <w:tcPr>
                  <w:tcW w:w="3754" w:type="pct"/>
                  <w:shd w:val="clear" w:color="auto" w:fill="F2F2F2" w:themeFill="background1" w:themeFillShade="F2"/>
                  <w:vAlign w:val="center"/>
                </w:tcPr>
                <w:p w14:paraId="11AB96D9"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11AB96DA" w14:textId="31688308"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35512F">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11AB96DB"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11AB96DD" w14:textId="77777777" w:rsidR="00981326" w:rsidRPr="00D53761" w:rsidRDefault="00981326" w:rsidP="00981326">
            <w:pPr>
              <w:tabs>
                <w:tab w:val="left" w:pos="1065"/>
              </w:tabs>
              <w:rPr>
                <w:rFonts w:ascii="Open Sans" w:hAnsi="Open Sans" w:cs="Open Sans"/>
                <w:sz w:val="20"/>
                <w:szCs w:val="20"/>
              </w:rPr>
            </w:pPr>
          </w:p>
        </w:tc>
      </w:tr>
      <w:tr w:rsidR="00981326" w:rsidRPr="00D53761" w14:paraId="11AB96E2" w14:textId="77777777" w:rsidTr="00981326">
        <w:trPr>
          <w:trHeight w:val="1075"/>
        </w:trPr>
        <w:tc>
          <w:tcPr>
            <w:tcW w:w="10548" w:type="dxa"/>
            <w:shd w:val="clear" w:color="auto" w:fill="F2F2F2" w:themeFill="background1" w:themeFillShade="F2"/>
            <w:vAlign w:val="center"/>
          </w:tcPr>
          <w:p w14:paraId="11AB96DF"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11AB96E0"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11AB96E1" w14:textId="117797D6"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35512F">
              <w:rPr>
                <w:rFonts w:ascii="Open Sans" w:hAnsi="Open Sans" w:cs="Open Sans"/>
                <w:b/>
                <w:sz w:val="20"/>
                <w:szCs w:val="20"/>
              </w:rPr>
              <w:t>X</w:t>
            </w:r>
            <w:r w:rsidRPr="00D53761">
              <w:rPr>
                <w:rFonts w:ascii="Open Sans" w:hAnsi="Open Sans" w:cs="Open Sans"/>
                <w:b/>
                <w:sz w:val="20"/>
                <w:szCs w:val="20"/>
              </w:rPr>
              <w:t>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11AB96E6" w14:textId="77777777" w:rsidTr="00981326">
        <w:trPr>
          <w:trHeight w:val="1612"/>
        </w:trPr>
        <w:tc>
          <w:tcPr>
            <w:tcW w:w="14109" w:type="dxa"/>
            <w:gridSpan w:val="2"/>
          </w:tcPr>
          <w:p w14:paraId="11AB96E3"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11AB96E4" w14:textId="77777777" w:rsidR="0011573F" w:rsidRDefault="0011573F" w:rsidP="00981326">
            <w:pPr>
              <w:rPr>
                <w:rFonts w:ascii="Open Sans" w:hAnsi="Open Sans" w:cs="Open Sans"/>
                <w:b/>
                <w:sz w:val="20"/>
                <w:szCs w:val="20"/>
              </w:rPr>
            </w:pPr>
          </w:p>
          <w:p w14:paraId="11AB96E5" w14:textId="1C6B4BA9"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w:t>
            </w:r>
            <w:proofErr w:type="spellStart"/>
            <w:r>
              <w:rPr>
                <w:rFonts w:ascii="Open Sans" w:hAnsi="Open Sans" w:cs="Open Sans"/>
                <w:sz w:val="20"/>
                <w:szCs w:val="20"/>
              </w:rPr>
              <w:t>meet</w:t>
            </w:r>
            <w:r w:rsidR="0035512F">
              <w:rPr>
                <w:rFonts w:ascii="Open Sans" w:hAnsi="Open Sans" w:cs="Open Sans"/>
                <w:sz w:val="20"/>
                <w:szCs w:val="20"/>
              </w:rPr>
              <w:t>S</w:t>
            </w:r>
            <w:proofErr w:type="spellEnd"/>
            <w:r>
              <w:rPr>
                <w:rFonts w:ascii="Open Sans" w:hAnsi="Open Sans" w:cs="Open Sans"/>
                <w:sz w:val="20"/>
                <w:szCs w:val="20"/>
              </w:rPr>
              <w:t xml:space="preserve"> the mandatory 80 percent alignment to course standards in </w:t>
            </w:r>
            <w:r w:rsidR="00AC69E4">
              <w:rPr>
                <w:rFonts w:ascii="Open Sans" w:hAnsi="Open Sans" w:cs="Open Sans"/>
                <w:sz w:val="20"/>
                <w:szCs w:val="20"/>
              </w:rPr>
              <w:t>Accounting 2</w:t>
            </w:r>
            <w:r>
              <w:rPr>
                <w:rFonts w:ascii="Open Sans" w:hAnsi="Open Sans" w:cs="Open Sans"/>
                <w:sz w:val="20"/>
                <w:szCs w:val="20"/>
              </w:rPr>
              <w:t>.</w:t>
            </w:r>
          </w:p>
        </w:tc>
      </w:tr>
    </w:tbl>
    <w:p w14:paraId="11AB96E7"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11AB96E8"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11AB96E9" w14:textId="77777777" w:rsidR="005D7F02" w:rsidRDefault="005D7F02" w:rsidP="00D53761">
      <w:pPr>
        <w:spacing w:after="0" w:line="240" w:lineRule="auto"/>
        <w:rPr>
          <w:rFonts w:ascii="Open Sans" w:eastAsia="Times New Roman" w:hAnsi="Open Sans" w:cs="Open Sans"/>
          <w:sz w:val="20"/>
          <w:szCs w:val="20"/>
        </w:rPr>
      </w:pPr>
    </w:p>
    <w:p w14:paraId="11AB96EA" w14:textId="77777777" w:rsidR="005D7F02" w:rsidRDefault="005D7F02" w:rsidP="00D53761">
      <w:pPr>
        <w:spacing w:after="0" w:line="240" w:lineRule="auto"/>
        <w:rPr>
          <w:rFonts w:ascii="Open Sans" w:eastAsia="Times New Roman" w:hAnsi="Open Sans" w:cs="Open Sans"/>
          <w:sz w:val="20"/>
          <w:szCs w:val="20"/>
        </w:rPr>
      </w:pPr>
    </w:p>
    <w:p w14:paraId="11AB97B3" w14:textId="5B02278A"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11AB97B4" w14:textId="77777777" w:rsidR="00F30CEA" w:rsidRDefault="001A4FF2" w:rsidP="00F30CEA">
      <w:pPr>
        <w:rPr>
          <w:rFonts w:ascii="Open Sans" w:eastAsia="Times New Roman" w:hAnsi="Open Sans" w:cs="Open Sans"/>
          <w:b/>
          <w:sz w:val="18"/>
          <w:szCs w:val="18"/>
        </w:rPr>
      </w:pPr>
      <w:r>
        <w:rPr>
          <w:rFonts w:ascii="Open Sans" w:eastAsia="Times New Roman" w:hAnsi="Open Sans" w:cs="Open Sans"/>
          <w:b/>
          <w:sz w:val="18"/>
          <w:szCs w:val="18"/>
        </w:rPr>
        <w:t>ACCOUNTING II (5911</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11AB97B6" w14:textId="77777777" w:rsidTr="004E6690">
        <w:tc>
          <w:tcPr>
            <w:tcW w:w="12950" w:type="dxa"/>
            <w:gridSpan w:val="4"/>
            <w:shd w:val="clear" w:color="auto" w:fill="F2F2F2" w:themeFill="background1" w:themeFillShade="F2"/>
          </w:tcPr>
          <w:p w14:paraId="11AB97B5" w14:textId="77777777"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14:paraId="11AB97BB" w14:textId="77777777" w:rsidTr="00CF1BC0">
        <w:tc>
          <w:tcPr>
            <w:tcW w:w="7555" w:type="dxa"/>
            <w:shd w:val="clear" w:color="auto" w:fill="F2F2F2" w:themeFill="background1" w:themeFillShade="F2"/>
          </w:tcPr>
          <w:p w14:paraId="11AB97B7"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11AB97B8"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11AB97B9"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11AB97BA"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0B29A2" w14:paraId="11AB97C0" w14:textId="77777777" w:rsidTr="00CF1BC0">
        <w:tc>
          <w:tcPr>
            <w:tcW w:w="7555" w:type="dxa"/>
          </w:tcPr>
          <w:p w14:paraId="11AB97BC" w14:textId="77777777" w:rsidR="000B29A2" w:rsidRPr="008C7DB3" w:rsidRDefault="000B29A2" w:rsidP="000B29A2">
            <w:pPr>
              <w:pStyle w:val="ListParagraph"/>
              <w:numPr>
                <w:ilvl w:val="0"/>
                <w:numId w:val="15"/>
              </w:numPr>
              <w:rPr>
                <w:rFonts w:ascii="Open Sans" w:eastAsia="Times New Roman" w:hAnsi="Open Sans" w:cs="Open Sans"/>
                <w:sz w:val="20"/>
                <w:szCs w:val="20"/>
              </w:rPr>
            </w:pPr>
            <w:r>
              <w:t>Demonstrate a thorough understanding of the accounting cycles of merchandising, manufacturing, and service businesses while performing actions necessary to plan, control, and evaluate business operations. Differentiate between inventory for both merchandising and manufacturing businesses and explain how the different types of businesses apply appropriate valuation methods when preparing financial statements.</w:t>
            </w:r>
          </w:p>
        </w:tc>
        <w:tc>
          <w:tcPr>
            <w:tcW w:w="630" w:type="dxa"/>
          </w:tcPr>
          <w:p w14:paraId="11AB97BD" w14:textId="19A769CA"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BE" w14:textId="77777777" w:rsidR="000B29A2" w:rsidRDefault="000B29A2" w:rsidP="000B29A2">
            <w:pPr>
              <w:rPr>
                <w:rFonts w:ascii="Open Sans" w:eastAsia="Times New Roman" w:hAnsi="Open Sans" w:cs="Open Sans"/>
                <w:sz w:val="20"/>
                <w:szCs w:val="20"/>
              </w:rPr>
            </w:pPr>
          </w:p>
        </w:tc>
        <w:tc>
          <w:tcPr>
            <w:tcW w:w="4135" w:type="dxa"/>
          </w:tcPr>
          <w:p w14:paraId="244A8BEB" w14:textId="31E72F0F" w:rsidR="000B29A2" w:rsidRDefault="000927D9" w:rsidP="000B29A2">
            <w:r>
              <w:t xml:space="preserve">The accounting cycles of merchandising, manufacturing, and service </w:t>
            </w:r>
            <w:proofErr w:type="gramStart"/>
            <w:r>
              <w:t>businesses  and</w:t>
            </w:r>
            <w:proofErr w:type="gramEnd"/>
            <w:r>
              <w:t xml:space="preserve"> the related accounting transactions pertaining to each are covered throughout the text.  However, they are specifically covered in </w:t>
            </w:r>
            <w:r w:rsidR="000B29A2">
              <w:t xml:space="preserve">Ch 1-2, </w:t>
            </w:r>
            <w:r>
              <w:t xml:space="preserve">Ch </w:t>
            </w:r>
            <w:r w:rsidR="000B29A2">
              <w:t xml:space="preserve">1-3, </w:t>
            </w:r>
            <w:r>
              <w:t xml:space="preserve">Ch </w:t>
            </w:r>
            <w:r w:rsidR="000B29A2">
              <w:t xml:space="preserve">4-2, </w:t>
            </w:r>
            <w:r>
              <w:t xml:space="preserve">Ch </w:t>
            </w:r>
            <w:r w:rsidR="000B29A2">
              <w:t>17-3, &amp; p. 121</w:t>
            </w:r>
            <w:r>
              <w:t xml:space="preserve">.  Related specific activities </w:t>
            </w:r>
            <w:r w:rsidR="0022371D">
              <w:t xml:space="preserve">may be found on </w:t>
            </w:r>
            <w:r w:rsidR="000B29A2">
              <w:t xml:space="preserve">p. 128, 4-M; </w:t>
            </w:r>
            <w:r w:rsidR="0022371D">
              <w:t xml:space="preserve">p. </w:t>
            </w:r>
            <w:r w:rsidR="000B29A2">
              <w:t xml:space="preserve">138-139, A-1; </w:t>
            </w:r>
            <w:r w:rsidR="0022371D">
              <w:t xml:space="preserve"> and p. </w:t>
            </w:r>
            <w:r w:rsidR="000B29A2">
              <w:t>528, 17-M</w:t>
            </w:r>
          </w:p>
          <w:p w14:paraId="5AE6880B" w14:textId="77777777" w:rsidR="000B29A2" w:rsidRDefault="000B29A2" w:rsidP="000B29A2"/>
          <w:p w14:paraId="11AB97BF" w14:textId="3BD9171E" w:rsidR="000B29A2" w:rsidRDefault="00B931F4" w:rsidP="00EF7899">
            <w:pPr>
              <w:rPr>
                <w:rFonts w:ascii="Open Sans" w:eastAsia="Times New Roman" w:hAnsi="Open Sans" w:cs="Open Sans"/>
                <w:sz w:val="20"/>
                <w:szCs w:val="20"/>
              </w:rPr>
            </w:pPr>
            <w:r>
              <w:t>Inventory valuation for merchandising</w:t>
            </w:r>
            <w:r w:rsidR="00EF7899">
              <w:t xml:space="preserve"> </w:t>
            </w:r>
            <w:proofErr w:type="spellStart"/>
            <w:r w:rsidR="00EF7899">
              <w:t>amd</w:t>
            </w:r>
            <w:proofErr w:type="spellEnd"/>
            <w:r w:rsidR="00EF7899">
              <w:t xml:space="preserve"> </w:t>
            </w:r>
            <w:r>
              <w:t xml:space="preserve">manufacturing </w:t>
            </w:r>
            <w:proofErr w:type="gramStart"/>
            <w:r>
              <w:t>businesses  are</w:t>
            </w:r>
            <w:proofErr w:type="gramEnd"/>
            <w:r>
              <w:t xml:space="preserve"> specifically covered in </w:t>
            </w:r>
            <w:r w:rsidR="000B29A2">
              <w:t xml:space="preserve">p. 13, </w:t>
            </w:r>
            <w:r w:rsidR="00EF7899">
              <w:t xml:space="preserve">p. </w:t>
            </w:r>
            <w:r w:rsidR="000B29A2">
              <w:t xml:space="preserve">100, </w:t>
            </w:r>
            <w:r w:rsidR="00EF7899">
              <w:t xml:space="preserve">and </w:t>
            </w:r>
            <w:r w:rsidR="000B29A2">
              <w:t xml:space="preserve">Ch </w:t>
            </w:r>
            <w:r w:rsidR="00EF7899">
              <w:t>5.  Related activities for inventory valuation include</w:t>
            </w:r>
            <w:r w:rsidR="000B29A2">
              <w:t>:  p. 162 End of Lesson Review; p. 167-169 “Apply your understanding”</w:t>
            </w:r>
          </w:p>
        </w:tc>
      </w:tr>
      <w:tr w:rsidR="000B29A2" w14:paraId="11AB97C5" w14:textId="77777777" w:rsidTr="00CF1BC0">
        <w:tc>
          <w:tcPr>
            <w:tcW w:w="7555" w:type="dxa"/>
          </w:tcPr>
          <w:p w14:paraId="11AB97C1" w14:textId="77777777" w:rsidR="000B29A2" w:rsidRPr="008C7DB3" w:rsidRDefault="000B29A2" w:rsidP="000B29A2">
            <w:pPr>
              <w:pStyle w:val="ListParagraph"/>
              <w:numPr>
                <w:ilvl w:val="0"/>
                <w:numId w:val="15"/>
              </w:numPr>
              <w:rPr>
                <w:rFonts w:ascii="Open Sans" w:eastAsia="Times New Roman" w:hAnsi="Open Sans" w:cs="Open Sans"/>
                <w:sz w:val="20"/>
                <w:szCs w:val="20"/>
              </w:rPr>
            </w:pPr>
            <w:r>
              <w:t>Collect source documents used to track transactions in accounting processes, such as invoices, receipts, memorandums, check stubs, deposit slips, and electronic records. Describe the process used by a merchandising business to prepare, review, and analyze source documents as part of the accounting cycle, citing evidence from sample documents.</w:t>
            </w:r>
          </w:p>
        </w:tc>
        <w:tc>
          <w:tcPr>
            <w:tcW w:w="630" w:type="dxa"/>
          </w:tcPr>
          <w:p w14:paraId="11AB97C2" w14:textId="469233F6"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C3" w14:textId="77777777" w:rsidR="000B29A2" w:rsidRDefault="000B29A2" w:rsidP="000B29A2">
            <w:pPr>
              <w:rPr>
                <w:rFonts w:ascii="Open Sans" w:eastAsia="Times New Roman" w:hAnsi="Open Sans" w:cs="Open Sans"/>
                <w:sz w:val="20"/>
                <w:szCs w:val="20"/>
              </w:rPr>
            </w:pPr>
          </w:p>
        </w:tc>
        <w:tc>
          <w:tcPr>
            <w:tcW w:w="4135" w:type="dxa"/>
          </w:tcPr>
          <w:p w14:paraId="11AB97C4" w14:textId="6FB7ABA0" w:rsidR="000B29A2" w:rsidRDefault="004E3C98" w:rsidP="000B29A2">
            <w:pPr>
              <w:rPr>
                <w:rFonts w:ascii="Open Sans" w:eastAsia="Times New Roman" w:hAnsi="Open Sans" w:cs="Open Sans"/>
                <w:sz w:val="20"/>
                <w:szCs w:val="20"/>
              </w:rPr>
            </w:pPr>
            <w:r>
              <w:t xml:space="preserve">Practice examples and exercises of how to use source documents to prepare accounting entries are included throughout the text, but specifically on </w:t>
            </w:r>
            <w:r w:rsidR="000B29A2">
              <w:t xml:space="preserve">p. 7, </w:t>
            </w:r>
            <w:r w:rsidR="00786A16">
              <w:t xml:space="preserve">p. </w:t>
            </w:r>
            <w:r w:rsidR="000B29A2">
              <w:t xml:space="preserve">43, </w:t>
            </w:r>
            <w:r w:rsidR="00786A16">
              <w:t xml:space="preserve">p. </w:t>
            </w:r>
            <w:r w:rsidR="000B29A2">
              <w:t>47,</w:t>
            </w:r>
            <w:r w:rsidR="00786A16">
              <w:t xml:space="preserve"> and</w:t>
            </w:r>
            <w:r w:rsidR="000B29A2">
              <w:t xml:space="preserve"> Ch 20-3</w:t>
            </w:r>
          </w:p>
        </w:tc>
      </w:tr>
      <w:tr w:rsidR="000B29A2" w14:paraId="11AB97CA" w14:textId="77777777" w:rsidTr="00CF1BC0">
        <w:tc>
          <w:tcPr>
            <w:tcW w:w="7555" w:type="dxa"/>
          </w:tcPr>
          <w:p w14:paraId="11AB97C6" w14:textId="77777777" w:rsidR="000B29A2" w:rsidRPr="008C7DB3" w:rsidRDefault="000B29A2" w:rsidP="000B29A2">
            <w:pPr>
              <w:pStyle w:val="ListParagraph"/>
              <w:numPr>
                <w:ilvl w:val="0"/>
                <w:numId w:val="15"/>
              </w:numPr>
              <w:rPr>
                <w:rFonts w:ascii="Open Sans" w:eastAsia="Times New Roman" w:hAnsi="Open Sans" w:cs="Open Sans"/>
                <w:sz w:val="20"/>
                <w:szCs w:val="20"/>
              </w:rPr>
            </w:pPr>
            <w:r>
              <w:t>Maintain accurate and balanced records for all accounts analyzed throughout the duration of the course. Analyze source documents of increasing complexity within a variety of merchandising, manufacturing, and service operations. For a given transaction, determine debits and credits; journalize transactions in the general journal or special journals; post to the general ledger and subsidiary ledger accounts; and determine the ending balances of each account.</w:t>
            </w:r>
          </w:p>
        </w:tc>
        <w:tc>
          <w:tcPr>
            <w:tcW w:w="630" w:type="dxa"/>
          </w:tcPr>
          <w:p w14:paraId="11AB97C7" w14:textId="71E04C71"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C8" w14:textId="77777777" w:rsidR="000B29A2" w:rsidRDefault="000B29A2" w:rsidP="000B29A2">
            <w:pPr>
              <w:rPr>
                <w:rFonts w:ascii="Open Sans" w:eastAsia="Times New Roman" w:hAnsi="Open Sans" w:cs="Open Sans"/>
                <w:sz w:val="20"/>
                <w:szCs w:val="20"/>
              </w:rPr>
            </w:pPr>
          </w:p>
        </w:tc>
        <w:tc>
          <w:tcPr>
            <w:tcW w:w="4135" w:type="dxa"/>
          </w:tcPr>
          <w:p w14:paraId="11AB97C9" w14:textId="79DA118F" w:rsidR="000B29A2" w:rsidRDefault="000B29A2" w:rsidP="000B29A2">
            <w:pPr>
              <w:rPr>
                <w:rFonts w:ascii="Open Sans" w:eastAsia="Times New Roman" w:hAnsi="Open Sans" w:cs="Open Sans"/>
                <w:sz w:val="20"/>
                <w:szCs w:val="20"/>
              </w:rPr>
            </w:pPr>
            <w:r>
              <w:t>Throughout the text, the following activities meet this standard:  “Work Together” and “On Your Own” activities after each chapter section and “Application Problems” and “Mastery Problems” at the end of each chapter.</w:t>
            </w:r>
          </w:p>
        </w:tc>
      </w:tr>
      <w:tr w:rsidR="000B29A2" w14:paraId="11AB97CF" w14:textId="77777777" w:rsidTr="00CF1BC0">
        <w:tc>
          <w:tcPr>
            <w:tcW w:w="7555" w:type="dxa"/>
          </w:tcPr>
          <w:p w14:paraId="11AB97CB" w14:textId="77777777" w:rsidR="000B29A2" w:rsidRPr="008C7DB3" w:rsidRDefault="000B29A2" w:rsidP="000B29A2">
            <w:pPr>
              <w:pStyle w:val="ListParagraph"/>
              <w:numPr>
                <w:ilvl w:val="0"/>
                <w:numId w:val="15"/>
              </w:numPr>
              <w:rPr>
                <w:rFonts w:ascii="Open Sans" w:eastAsia="Times New Roman" w:hAnsi="Open Sans" w:cs="Open Sans"/>
                <w:sz w:val="20"/>
                <w:szCs w:val="20"/>
              </w:rPr>
            </w:pPr>
            <w:r>
              <w:t>Gather sample accounting worksheets from public records, textbooks, or other company templates to determine how merchandising businesses prepare financial records. Drawing on this information, prepare an original 10 column worksheet. Define and provide examples of key categories and terms, including accounts receivable, accounts payable, and various tax accounts.</w:t>
            </w:r>
          </w:p>
        </w:tc>
        <w:tc>
          <w:tcPr>
            <w:tcW w:w="630" w:type="dxa"/>
          </w:tcPr>
          <w:p w14:paraId="11AB97CC" w14:textId="44E1705B"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CD" w14:textId="77777777" w:rsidR="000B29A2" w:rsidRDefault="000B29A2" w:rsidP="000B29A2">
            <w:pPr>
              <w:rPr>
                <w:rFonts w:ascii="Open Sans" w:eastAsia="Times New Roman" w:hAnsi="Open Sans" w:cs="Open Sans"/>
                <w:sz w:val="20"/>
                <w:szCs w:val="20"/>
              </w:rPr>
            </w:pPr>
          </w:p>
        </w:tc>
        <w:tc>
          <w:tcPr>
            <w:tcW w:w="4135" w:type="dxa"/>
          </w:tcPr>
          <w:p w14:paraId="11AB97CE" w14:textId="3A037C9E" w:rsidR="000B29A2" w:rsidRDefault="000B29A2" w:rsidP="00DA6DDD">
            <w:pPr>
              <w:rPr>
                <w:rFonts w:ascii="Open Sans" w:eastAsia="Times New Roman" w:hAnsi="Open Sans" w:cs="Open Sans"/>
                <w:sz w:val="20"/>
                <w:szCs w:val="20"/>
              </w:rPr>
            </w:pPr>
            <w:r>
              <w:t xml:space="preserve">“Analyzing Home Depot” at the end of each chapter allows students to determine how a merchandising business prepares financial records.  </w:t>
            </w:r>
            <w:r w:rsidR="00E512A3">
              <w:t xml:space="preserve">Additionally, </w:t>
            </w:r>
            <w:r w:rsidR="00DA6DDD">
              <w:t xml:space="preserve">practice examples and exercises of how to prepare a 10 column worksheet and key terms are included throughout the text, but specifically on </w:t>
            </w:r>
            <w:r>
              <w:t>p. 132-134</w:t>
            </w:r>
            <w:r w:rsidR="00DA6DDD">
              <w:t xml:space="preserve">, </w:t>
            </w:r>
            <w:r>
              <w:t xml:space="preserve">Ch 2-1, </w:t>
            </w:r>
            <w:r w:rsidR="00DA6DDD">
              <w:t xml:space="preserve">Ch </w:t>
            </w:r>
            <w:r>
              <w:t>8-3</w:t>
            </w:r>
            <w:r w:rsidR="00DA6DDD">
              <w:t xml:space="preserve">, and </w:t>
            </w:r>
            <w:r>
              <w:t>p. 655-656</w:t>
            </w:r>
          </w:p>
        </w:tc>
      </w:tr>
      <w:tr w:rsidR="000B29A2" w14:paraId="11AB97D4" w14:textId="77777777" w:rsidTr="00CF1BC0">
        <w:tc>
          <w:tcPr>
            <w:tcW w:w="7555" w:type="dxa"/>
          </w:tcPr>
          <w:p w14:paraId="11AB97D0" w14:textId="77777777" w:rsidR="000B29A2" w:rsidRPr="008C7DB3" w:rsidRDefault="000B29A2" w:rsidP="000B29A2">
            <w:pPr>
              <w:pStyle w:val="ListParagraph"/>
              <w:numPr>
                <w:ilvl w:val="0"/>
                <w:numId w:val="15"/>
              </w:numPr>
              <w:rPr>
                <w:rFonts w:ascii="Open Sans" w:eastAsia="Times New Roman" w:hAnsi="Open Sans" w:cs="Open Sans"/>
                <w:sz w:val="20"/>
                <w:szCs w:val="20"/>
              </w:rPr>
            </w:pPr>
            <w:r>
              <w:t>Demonstrate accurate analysis of financial data by performing the following processes: a. Record and post adjusting entries to affected supplies, inventory, notes receivable, insurance, accounts payable, and tax accounts b. Prepare and analyze financial statements c. Record closing entries of temporary accounts, including revenue, expense, and withdrawals accounts d. Prepare the post-closing trial balance For example, starting with a file of source documents and financial statements from the prior time period, complete a simulation or a mini-project spanning all steps in the accounting cycle for a merchandising business.</w:t>
            </w:r>
          </w:p>
        </w:tc>
        <w:tc>
          <w:tcPr>
            <w:tcW w:w="630" w:type="dxa"/>
          </w:tcPr>
          <w:p w14:paraId="11AB97D1" w14:textId="17A01CB7"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D2" w14:textId="77777777" w:rsidR="000B29A2" w:rsidRDefault="000B29A2" w:rsidP="000B29A2">
            <w:pPr>
              <w:rPr>
                <w:rFonts w:ascii="Open Sans" w:eastAsia="Times New Roman" w:hAnsi="Open Sans" w:cs="Open Sans"/>
                <w:sz w:val="20"/>
                <w:szCs w:val="20"/>
              </w:rPr>
            </w:pPr>
          </w:p>
        </w:tc>
        <w:tc>
          <w:tcPr>
            <w:tcW w:w="4135" w:type="dxa"/>
          </w:tcPr>
          <w:p w14:paraId="15DB0F6E" w14:textId="555CECC1" w:rsidR="000B29A2" w:rsidRDefault="00216606" w:rsidP="000B29A2">
            <w:pPr>
              <w:pStyle w:val="ListParagraph"/>
              <w:numPr>
                <w:ilvl w:val="0"/>
                <w:numId w:val="16"/>
              </w:numPr>
            </w:pPr>
            <w:r>
              <w:t xml:space="preserve">Adjusting entries are covered throughout the book as appropriate.  However, adjusting entries pertaining to key elements of this standard are examined in </w:t>
            </w:r>
            <w:r w:rsidR="000B29A2">
              <w:t>Ch 4-1, 9-1, 22-1, 24-1</w:t>
            </w:r>
          </w:p>
          <w:p w14:paraId="0FEBA4B0" w14:textId="77777777" w:rsidR="000B29A2" w:rsidRDefault="000B29A2" w:rsidP="000B29A2">
            <w:pPr>
              <w:pStyle w:val="ListParagraph"/>
              <w:numPr>
                <w:ilvl w:val="0"/>
                <w:numId w:val="16"/>
              </w:numPr>
            </w:pPr>
            <w:r>
              <w:t xml:space="preserve">“Analyzing Home Depot” at the end of each chapter allows students to analyze financial records.  </w:t>
            </w:r>
            <w:r>
              <w:br/>
              <w:t>Ch 4-3, 13, 22, 24</w:t>
            </w:r>
          </w:p>
          <w:p w14:paraId="5E19B07A" w14:textId="6420C4ED" w:rsidR="000B29A2" w:rsidRDefault="00B01F99" w:rsidP="000B29A2">
            <w:pPr>
              <w:pStyle w:val="ListParagraph"/>
              <w:numPr>
                <w:ilvl w:val="0"/>
                <w:numId w:val="16"/>
              </w:numPr>
            </w:pPr>
            <w:r>
              <w:t xml:space="preserve">Closing temporary accounts are covered in </w:t>
            </w:r>
            <w:r w:rsidR="000B29A2">
              <w:t>Ch 4-4</w:t>
            </w:r>
          </w:p>
          <w:p w14:paraId="1A942F89" w14:textId="4519C45B" w:rsidR="000B29A2" w:rsidRDefault="00AB118A" w:rsidP="000B29A2">
            <w:pPr>
              <w:pStyle w:val="ListParagraph"/>
              <w:numPr>
                <w:ilvl w:val="0"/>
                <w:numId w:val="16"/>
              </w:numPr>
            </w:pPr>
            <w:r>
              <w:t xml:space="preserve">Exercises in how to prepare a </w:t>
            </w:r>
            <w:proofErr w:type="spellStart"/>
            <w:r>
              <w:t>post closing</w:t>
            </w:r>
            <w:proofErr w:type="spellEnd"/>
            <w:r>
              <w:t xml:space="preserve"> trial balance are covered in </w:t>
            </w:r>
            <w:r w:rsidR="000B29A2">
              <w:t xml:space="preserve">Ch 4-4, Ch 4-4 “End of Lesson Review”, </w:t>
            </w:r>
            <w:r>
              <w:t xml:space="preserve">and </w:t>
            </w:r>
            <w:r w:rsidR="000B29A2">
              <w:t>Chapter 4 “Apply Your Understanding”</w:t>
            </w:r>
          </w:p>
          <w:p w14:paraId="11AB97D3" w14:textId="77777777" w:rsidR="000B29A2" w:rsidRDefault="000B29A2" w:rsidP="000B29A2">
            <w:pPr>
              <w:rPr>
                <w:rFonts w:ascii="Open Sans" w:eastAsia="Times New Roman" w:hAnsi="Open Sans" w:cs="Open Sans"/>
                <w:sz w:val="20"/>
                <w:szCs w:val="20"/>
              </w:rPr>
            </w:pPr>
          </w:p>
        </w:tc>
      </w:tr>
      <w:tr w:rsidR="000B29A2" w14:paraId="11AB97D9" w14:textId="77777777" w:rsidTr="00CF1BC0">
        <w:tc>
          <w:tcPr>
            <w:tcW w:w="7555" w:type="dxa"/>
          </w:tcPr>
          <w:p w14:paraId="11AB97D5" w14:textId="77777777" w:rsidR="000B29A2" w:rsidRPr="008C7DB3" w:rsidRDefault="000B29A2" w:rsidP="000B29A2">
            <w:pPr>
              <w:pStyle w:val="ListParagraph"/>
              <w:numPr>
                <w:ilvl w:val="0"/>
                <w:numId w:val="15"/>
              </w:numPr>
              <w:rPr>
                <w:rFonts w:ascii="Open Sans" w:eastAsia="Times New Roman" w:hAnsi="Open Sans" w:cs="Open Sans"/>
                <w:sz w:val="20"/>
                <w:szCs w:val="20"/>
              </w:rPr>
            </w:pPr>
            <w:r>
              <w:t>Compare and contrast the cost accounting records for a merchandising business with a manufacturing business. a. For a merchandising business, analyze the means of tracking and accounting for physical inventory and determining the actual cost of the merchandise resold to customers. Calculate the ending balance of the inventory account using the adjustment process b. In a manufacturing business, review the components of systems used to maintain records of manufacturing costs. Differentiate between job order and process cost accounting, and demonstrate an understanding of the advantages of each system for different manufacturing processes. Track the flow of inventory in the product process, from raw materials to work-in-process to finished goods inventory c. For both businesses, account for direct labor, direct material, and factory overhead budgeting For example, schedule a real or virtual field trip to a local manufacturing plant to observe how raw materials are converted to finished goods. Upon completion of the tour, prepare an informational text and accompanying graphic illustrating the cost accounting methods and budgeting practices employed by the firm.</w:t>
            </w:r>
          </w:p>
        </w:tc>
        <w:tc>
          <w:tcPr>
            <w:tcW w:w="630" w:type="dxa"/>
          </w:tcPr>
          <w:p w14:paraId="11AB97D6" w14:textId="747A6128"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D7" w14:textId="77777777" w:rsidR="000B29A2" w:rsidRDefault="000B29A2" w:rsidP="000B29A2">
            <w:pPr>
              <w:rPr>
                <w:rFonts w:ascii="Open Sans" w:eastAsia="Times New Roman" w:hAnsi="Open Sans" w:cs="Open Sans"/>
                <w:sz w:val="20"/>
                <w:szCs w:val="20"/>
              </w:rPr>
            </w:pPr>
          </w:p>
        </w:tc>
        <w:tc>
          <w:tcPr>
            <w:tcW w:w="4135" w:type="dxa"/>
          </w:tcPr>
          <w:p w14:paraId="0708026F" w14:textId="7756183B" w:rsidR="007F7AFB" w:rsidRDefault="007F7AFB" w:rsidP="007F7AFB">
            <w:pPr>
              <w:pStyle w:val="ListParagraph"/>
              <w:numPr>
                <w:ilvl w:val="0"/>
                <w:numId w:val="17"/>
              </w:numPr>
            </w:pPr>
            <w:r>
              <w:t>Ch 5 examines types of inventory costing and how the costs of goods sold are determined.  Inventory journal entries are also included in this chapter.</w:t>
            </w:r>
          </w:p>
          <w:p w14:paraId="7E6E3B52" w14:textId="74CA54DA" w:rsidR="000B29A2" w:rsidRDefault="000B29A2" w:rsidP="007F7AFB">
            <w:pPr>
              <w:pStyle w:val="ListParagraph"/>
              <w:numPr>
                <w:ilvl w:val="0"/>
                <w:numId w:val="17"/>
              </w:numPr>
            </w:pPr>
            <w:r>
              <w:t>Ch 17 &amp; 19</w:t>
            </w:r>
            <w:r w:rsidR="0006228D">
              <w:t xml:space="preserve"> cover manufacturing costs and methods of calculation.</w:t>
            </w:r>
          </w:p>
          <w:p w14:paraId="11AB97D8" w14:textId="70F235C0" w:rsidR="000B29A2" w:rsidRPr="000B29A2" w:rsidRDefault="000B29A2" w:rsidP="007F7AFB">
            <w:pPr>
              <w:pStyle w:val="ListParagraph"/>
              <w:numPr>
                <w:ilvl w:val="0"/>
                <w:numId w:val="17"/>
              </w:numPr>
            </w:pPr>
            <w:r>
              <w:t xml:space="preserve">Ch 17.1 </w:t>
            </w:r>
            <w:r w:rsidR="00807BFB">
              <w:t>is an overview of cost accounting principles required to complete this standard.</w:t>
            </w:r>
          </w:p>
        </w:tc>
      </w:tr>
      <w:tr w:rsidR="000B29A2" w14:paraId="11AB97DE" w14:textId="77777777" w:rsidTr="00CF1BC0">
        <w:tc>
          <w:tcPr>
            <w:tcW w:w="7555" w:type="dxa"/>
          </w:tcPr>
          <w:p w14:paraId="11AB97DA" w14:textId="77777777" w:rsidR="000B29A2" w:rsidRDefault="000B29A2" w:rsidP="000B29A2">
            <w:pPr>
              <w:pStyle w:val="ListParagraph"/>
              <w:numPr>
                <w:ilvl w:val="0"/>
                <w:numId w:val="15"/>
              </w:numPr>
            </w:pPr>
            <w:r>
              <w:t>Analyze budgetary planning and controls for the financial operation of a merchandising, manufacturing, or service business. Perform analysis typical of an accounts manager by comparing actual amounts of revenues, expenses, and cash with budgeted amounts. Develop a written narrative, complete with supporting financial statements, to illustrate how businesses use this type of financial information to make management decisions.</w:t>
            </w:r>
          </w:p>
        </w:tc>
        <w:tc>
          <w:tcPr>
            <w:tcW w:w="630" w:type="dxa"/>
          </w:tcPr>
          <w:p w14:paraId="11AB97DB" w14:textId="77777777" w:rsidR="000B29A2" w:rsidRDefault="000B29A2" w:rsidP="000B29A2">
            <w:pPr>
              <w:rPr>
                <w:rFonts w:ascii="Open Sans" w:eastAsia="Times New Roman" w:hAnsi="Open Sans" w:cs="Open Sans"/>
                <w:sz w:val="20"/>
                <w:szCs w:val="20"/>
              </w:rPr>
            </w:pPr>
          </w:p>
        </w:tc>
        <w:tc>
          <w:tcPr>
            <w:tcW w:w="630" w:type="dxa"/>
          </w:tcPr>
          <w:p w14:paraId="11AB97DC" w14:textId="77777777" w:rsidR="000B29A2" w:rsidRDefault="000B29A2" w:rsidP="000B29A2">
            <w:pPr>
              <w:rPr>
                <w:rFonts w:ascii="Open Sans" w:eastAsia="Times New Roman" w:hAnsi="Open Sans" w:cs="Open Sans"/>
                <w:sz w:val="20"/>
                <w:szCs w:val="20"/>
              </w:rPr>
            </w:pPr>
          </w:p>
        </w:tc>
        <w:tc>
          <w:tcPr>
            <w:tcW w:w="4135" w:type="dxa"/>
          </w:tcPr>
          <w:p w14:paraId="3E6F69D1" w14:textId="77777777" w:rsidR="000B29A2" w:rsidRDefault="000B29A2" w:rsidP="000B29A2">
            <w:r>
              <w:t xml:space="preserve">Ch 15, “Analyzing Home Depot” at the end of each chapter allows students to analyze budgetary planning and controls.  </w:t>
            </w:r>
          </w:p>
          <w:p w14:paraId="11AB97DD" w14:textId="77777777" w:rsidR="000B29A2" w:rsidRDefault="000B29A2" w:rsidP="000B29A2">
            <w:pPr>
              <w:rPr>
                <w:rFonts w:ascii="Open Sans" w:eastAsia="Times New Roman" w:hAnsi="Open Sans" w:cs="Open Sans"/>
                <w:sz w:val="20"/>
                <w:szCs w:val="20"/>
              </w:rPr>
            </w:pPr>
          </w:p>
        </w:tc>
      </w:tr>
      <w:tr w:rsidR="000B29A2" w14:paraId="11AB97E3" w14:textId="77777777" w:rsidTr="00CF1BC0">
        <w:tc>
          <w:tcPr>
            <w:tcW w:w="7555" w:type="dxa"/>
          </w:tcPr>
          <w:p w14:paraId="11AB97DF" w14:textId="77777777" w:rsidR="000B29A2" w:rsidRDefault="000B29A2" w:rsidP="000B29A2">
            <w:pPr>
              <w:pStyle w:val="ListParagraph"/>
              <w:numPr>
                <w:ilvl w:val="0"/>
                <w:numId w:val="15"/>
              </w:numPr>
            </w:pPr>
            <w:r>
              <w:t>Illustrate how accounting information facilitates management decision making. For example, determine the factors that businesses must consider when making the following decisions: make or buy a product; lease or buy an asset; discontinue a department, plant, or product; offer discounted prices on special orders; replace and repair equipment.</w:t>
            </w:r>
          </w:p>
        </w:tc>
        <w:tc>
          <w:tcPr>
            <w:tcW w:w="630" w:type="dxa"/>
          </w:tcPr>
          <w:p w14:paraId="11AB97E0" w14:textId="15EE4314"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E1" w14:textId="77777777" w:rsidR="000B29A2" w:rsidRDefault="000B29A2" w:rsidP="000B29A2">
            <w:pPr>
              <w:rPr>
                <w:rFonts w:ascii="Open Sans" w:eastAsia="Times New Roman" w:hAnsi="Open Sans" w:cs="Open Sans"/>
                <w:sz w:val="20"/>
                <w:szCs w:val="20"/>
              </w:rPr>
            </w:pPr>
          </w:p>
        </w:tc>
        <w:tc>
          <w:tcPr>
            <w:tcW w:w="4135" w:type="dxa"/>
          </w:tcPr>
          <w:p w14:paraId="11AB97E2" w14:textId="2922042E" w:rsidR="000B29A2" w:rsidRDefault="000B29A2" w:rsidP="000B29A2">
            <w:pPr>
              <w:rPr>
                <w:rFonts w:ascii="Open Sans" w:eastAsia="Times New Roman" w:hAnsi="Open Sans" w:cs="Open Sans"/>
                <w:sz w:val="20"/>
                <w:szCs w:val="20"/>
              </w:rPr>
            </w:pPr>
            <w:r>
              <w:t>Ch 18</w:t>
            </w:r>
            <w:r w:rsidRPr="00074244">
              <w:t xml:space="preserve"> </w:t>
            </w:r>
            <w:r w:rsidR="00CA0DDC">
              <w:t>includes information on how to make managerial accounting decisions</w:t>
            </w:r>
            <w:r w:rsidR="007C5D9F">
              <w:t>, including leasing or buying, etc.</w:t>
            </w:r>
          </w:p>
        </w:tc>
      </w:tr>
      <w:tr w:rsidR="000B29A2" w14:paraId="11AB97E8" w14:textId="77777777" w:rsidTr="00CF1BC0">
        <w:tc>
          <w:tcPr>
            <w:tcW w:w="7555" w:type="dxa"/>
          </w:tcPr>
          <w:p w14:paraId="11AB97E4" w14:textId="77777777" w:rsidR="000B29A2" w:rsidRDefault="000B29A2" w:rsidP="000B29A2">
            <w:pPr>
              <w:pStyle w:val="ListParagraph"/>
              <w:numPr>
                <w:ilvl w:val="0"/>
                <w:numId w:val="15"/>
              </w:numPr>
            </w:pPr>
            <w:r>
              <w:t>Examine various advanced applications of accounting for a merchandising business, and analyze the implications that each has for the business’s profitability. Advanced applications include, but are not limited to, the following: a. Prepare adjustments for uncollectible accounts using both the direct write-off and the allowance method b. Analyze methods related to assigning cost to inventory, including the specific identification method, first-in first-out (FIFO) method, last-in first-out (LIFO) method, and weighted average cost method For example, calculate the cost of a business’s inventory using all four inventory valuation methods and determine the effect on financial statements.</w:t>
            </w:r>
          </w:p>
        </w:tc>
        <w:tc>
          <w:tcPr>
            <w:tcW w:w="630" w:type="dxa"/>
          </w:tcPr>
          <w:p w14:paraId="11AB97E5" w14:textId="7090205E"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E6" w14:textId="77777777" w:rsidR="000B29A2" w:rsidRDefault="000B29A2" w:rsidP="000B29A2">
            <w:pPr>
              <w:rPr>
                <w:rFonts w:ascii="Open Sans" w:eastAsia="Times New Roman" w:hAnsi="Open Sans" w:cs="Open Sans"/>
                <w:sz w:val="20"/>
                <w:szCs w:val="20"/>
              </w:rPr>
            </w:pPr>
          </w:p>
        </w:tc>
        <w:tc>
          <w:tcPr>
            <w:tcW w:w="4135" w:type="dxa"/>
          </w:tcPr>
          <w:p w14:paraId="26203AAB" w14:textId="3BD052E9" w:rsidR="000B29A2" w:rsidRDefault="000B29A2" w:rsidP="000B29A2">
            <w:pPr>
              <w:pStyle w:val="ListParagraph"/>
              <w:numPr>
                <w:ilvl w:val="0"/>
                <w:numId w:val="18"/>
              </w:numPr>
            </w:pPr>
            <w:r>
              <w:t>Ch 8</w:t>
            </w:r>
            <w:r w:rsidR="00CA6924">
              <w:t xml:space="preserve"> covers the direct write off and allowance method</w:t>
            </w:r>
          </w:p>
          <w:p w14:paraId="3D778584" w14:textId="3BE9813F" w:rsidR="000B29A2" w:rsidRDefault="000B29A2" w:rsidP="000B29A2">
            <w:pPr>
              <w:pStyle w:val="ListParagraph"/>
              <w:numPr>
                <w:ilvl w:val="0"/>
                <w:numId w:val="18"/>
              </w:numPr>
            </w:pPr>
            <w:r>
              <w:t>Ch 5</w:t>
            </w:r>
            <w:r w:rsidR="00CA6924">
              <w:t xml:space="preserve"> examines types of inventory costing</w:t>
            </w:r>
          </w:p>
          <w:p w14:paraId="11AB97E7" w14:textId="77777777" w:rsidR="000B29A2" w:rsidRDefault="000B29A2" w:rsidP="000B29A2">
            <w:pPr>
              <w:rPr>
                <w:rFonts w:ascii="Open Sans" w:eastAsia="Times New Roman" w:hAnsi="Open Sans" w:cs="Open Sans"/>
                <w:sz w:val="20"/>
                <w:szCs w:val="20"/>
              </w:rPr>
            </w:pPr>
          </w:p>
        </w:tc>
      </w:tr>
      <w:tr w:rsidR="000B29A2" w14:paraId="11AB97ED" w14:textId="77777777" w:rsidTr="00CF1BC0">
        <w:tc>
          <w:tcPr>
            <w:tcW w:w="7555" w:type="dxa"/>
          </w:tcPr>
          <w:p w14:paraId="11AB97E9" w14:textId="77777777" w:rsidR="000B29A2" w:rsidRDefault="000B29A2" w:rsidP="000B29A2">
            <w:pPr>
              <w:pStyle w:val="ListParagraph"/>
              <w:numPr>
                <w:ilvl w:val="0"/>
                <w:numId w:val="15"/>
              </w:numPr>
            </w:pPr>
            <w:r>
              <w:t xml:space="preserve">Define depreciation in accounting contexts, and determine the impact of depreciation on a variety of goods in different industries (i.e., manufacturing, agriculture, retail services, and more). For a selected firm in one of these industries, analyze and journalize acquisition, depreciation, and disposal of a plant asset, then calculate depreciation using the </w:t>
            </w:r>
            <w:proofErr w:type="spellStart"/>
            <w:r>
              <w:t>straightline</w:t>
            </w:r>
            <w:proofErr w:type="spellEnd"/>
            <w:r>
              <w:t>, declining balance, and sum-of-the-years digits methods</w:t>
            </w:r>
          </w:p>
        </w:tc>
        <w:tc>
          <w:tcPr>
            <w:tcW w:w="630" w:type="dxa"/>
          </w:tcPr>
          <w:p w14:paraId="11AB97EA" w14:textId="6436A8A3"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EB" w14:textId="77777777" w:rsidR="000B29A2" w:rsidRDefault="000B29A2" w:rsidP="000B29A2">
            <w:pPr>
              <w:rPr>
                <w:rFonts w:ascii="Open Sans" w:eastAsia="Times New Roman" w:hAnsi="Open Sans" w:cs="Open Sans"/>
                <w:sz w:val="20"/>
                <w:szCs w:val="20"/>
              </w:rPr>
            </w:pPr>
          </w:p>
        </w:tc>
        <w:tc>
          <w:tcPr>
            <w:tcW w:w="4135" w:type="dxa"/>
          </w:tcPr>
          <w:p w14:paraId="11AB97EC" w14:textId="4BF6E127" w:rsidR="000B29A2" w:rsidRDefault="000B29A2" w:rsidP="000B29A2">
            <w:pPr>
              <w:rPr>
                <w:rFonts w:ascii="Open Sans" w:eastAsia="Times New Roman" w:hAnsi="Open Sans" w:cs="Open Sans"/>
                <w:sz w:val="20"/>
                <w:szCs w:val="20"/>
              </w:rPr>
            </w:pPr>
            <w:r>
              <w:t>Ch 7</w:t>
            </w:r>
            <w:r w:rsidR="00D768EB">
              <w:t xml:space="preserve"> describes different types of depreciation and the various calculations.  It also describes </w:t>
            </w:r>
            <w:r w:rsidR="00CA6924">
              <w:t>journal entries pertaining to depreciation, acquisition, and disposals.</w:t>
            </w:r>
          </w:p>
        </w:tc>
      </w:tr>
      <w:tr w:rsidR="000B29A2" w14:paraId="11AB97F2" w14:textId="77777777" w:rsidTr="00CF1BC0">
        <w:tc>
          <w:tcPr>
            <w:tcW w:w="7555" w:type="dxa"/>
          </w:tcPr>
          <w:p w14:paraId="11AB97EE" w14:textId="77777777" w:rsidR="000B29A2" w:rsidRDefault="000B29A2" w:rsidP="000B29A2">
            <w:pPr>
              <w:pStyle w:val="ListParagraph"/>
              <w:numPr>
                <w:ilvl w:val="0"/>
                <w:numId w:val="15"/>
              </w:numPr>
            </w:pPr>
            <w:r>
              <w:t>Research IRS.gov for multiple small business and self-employment forms/publications detailing important tax information related to the various stages of owning a business, from starting and filing for an Employer Identification Number (EIN), to operating and closing. Follow procedures to complete sample federal income tax employment/payroll forms (i.e., 940, 941, 944, W2) for small businesses, including social security and Medicare taxes, FUTA, and self-employment taxes. Prepare quarterly and end-of-tax-year examples for a real or fictitious small business.</w:t>
            </w:r>
          </w:p>
        </w:tc>
        <w:tc>
          <w:tcPr>
            <w:tcW w:w="630" w:type="dxa"/>
          </w:tcPr>
          <w:p w14:paraId="11AB97EF" w14:textId="77777777" w:rsidR="000B29A2" w:rsidRDefault="000B29A2" w:rsidP="000B29A2">
            <w:pPr>
              <w:rPr>
                <w:rFonts w:ascii="Open Sans" w:eastAsia="Times New Roman" w:hAnsi="Open Sans" w:cs="Open Sans"/>
                <w:sz w:val="20"/>
                <w:szCs w:val="20"/>
              </w:rPr>
            </w:pPr>
          </w:p>
        </w:tc>
        <w:tc>
          <w:tcPr>
            <w:tcW w:w="630" w:type="dxa"/>
          </w:tcPr>
          <w:p w14:paraId="11AB97F0" w14:textId="1FF06409"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1AB97F1" w14:textId="09E87C6E" w:rsidR="000B29A2" w:rsidRDefault="000B29A2" w:rsidP="000B29A2">
            <w:pPr>
              <w:rPr>
                <w:rFonts w:ascii="Open Sans" w:eastAsia="Times New Roman" w:hAnsi="Open Sans" w:cs="Open Sans"/>
                <w:sz w:val="20"/>
                <w:szCs w:val="20"/>
              </w:rPr>
            </w:pPr>
            <w:r>
              <w:rPr>
                <w:highlight w:val="yellow"/>
              </w:rPr>
              <w:t xml:space="preserve">NO - </w:t>
            </w:r>
            <w:r w:rsidRPr="00507BB6">
              <w:rPr>
                <w:highlight w:val="yellow"/>
              </w:rPr>
              <w:t>This standard requires the student to access outside information (</w:t>
            </w:r>
            <w:r>
              <w:rPr>
                <w:highlight w:val="yellow"/>
              </w:rPr>
              <w:t>irs.gov</w:t>
            </w:r>
            <w:r w:rsidRPr="00507BB6">
              <w:rPr>
                <w:highlight w:val="yellow"/>
              </w:rPr>
              <w:t xml:space="preserve">) which cannot be incorporated into the textbook.  However, knowledge-level vocabulary to complete this standard is included in </w:t>
            </w:r>
            <w:r>
              <w:rPr>
                <w:highlight w:val="yellow"/>
              </w:rPr>
              <w:t>Ch 3-1</w:t>
            </w:r>
            <w:r w:rsidRPr="00507BB6">
              <w:rPr>
                <w:highlight w:val="yellow"/>
              </w:rPr>
              <w:t xml:space="preserve"> </w:t>
            </w:r>
            <w:r>
              <w:rPr>
                <w:highlight w:val="yellow"/>
              </w:rPr>
              <w:t xml:space="preserve">&amp; 3-2 </w:t>
            </w:r>
            <w:r w:rsidRPr="00507BB6">
              <w:rPr>
                <w:highlight w:val="yellow"/>
              </w:rPr>
              <w:t>of the text</w:t>
            </w:r>
            <w:r>
              <w:rPr>
                <w:highlight w:val="yellow"/>
              </w:rPr>
              <w:t>.</w:t>
            </w:r>
          </w:p>
        </w:tc>
      </w:tr>
      <w:tr w:rsidR="000B29A2" w14:paraId="11AB97F7" w14:textId="77777777" w:rsidTr="00CF1BC0">
        <w:tc>
          <w:tcPr>
            <w:tcW w:w="7555" w:type="dxa"/>
          </w:tcPr>
          <w:p w14:paraId="11AB97F3" w14:textId="77777777" w:rsidR="000B29A2" w:rsidRDefault="000B29A2" w:rsidP="000B29A2">
            <w:pPr>
              <w:pStyle w:val="ListParagraph"/>
              <w:numPr>
                <w:ilvl w:val="0"/>
                <w:numId w:val="15"/>
              </w:numPr>
            </w:pPr>
            <w:r>
              <w:t>Examine the steps required to form and expand a partnership. Analyze the transactions necessary for forming a partnership, admitting new partners, and distributing net income among partners, including identification of federal income tax forms for partnerships.</w:t>
            </w:r>
          </w:p>
        </w:tc>
        <w:tc>
          <w:tcPr>
            <w:tcW w:w="630" w:type="dxa"/>
          </w:tcPr>
          <w:p w14:paraId="11AB97F4" w14:textId="643A798B"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F5" w14:textId="77777777" w:rsidR="000B29A2" w:rsidRDefault="000B29A2" w:rsidP="000B29A2">
            <w:pPr>
              <w:rPr>
                <w:rFonts w:ascii="Open Sans" w:eastAsia="Times New Roman" w:hAnsi="Open Sans" w:cs="Open Sans"/>
                <w:sz w:val="20"/>
                <w:szCs w:val="20"/>
              </w:rPr>
            </w:pPr>
          </w:p>
        </w:tc>
        <w:tc>
          <w:tcPr>
            <w:tcW w:w="4135" w:type="dxa"/>
          </w:tcPr>
          <w:p w14:paraId="11AB97F6" w14:textId="4F0665CF" w:rsidR="000B29A2" w:rsidRDefault="000B29A2" w:rsidP="000B29A2">
            <w:pPr>
              <w:rPr>
                <w:rFonts w:ascii="Open Sans" w:eastAsia="Times New Roman" w:hAnsi="Open Sans" w:cs="Open Sans"/>
                <w:sz w:val="20"/>
                <w:szCs w:val="20"/>
              </w:rPr>
            </w:pPr>
            <w:r>
              <w:t>Ch 21-2</w:t>
            </w:r>
            <w:r w:rsidR="00CC1E15">
              <w:t xml:space="preserve"> covers the formation of partnerships as well as the procedures to add partners.</w:t>
            </w:r>
          </w:p>
        </w:tc>
      </w:tr>
      <w:tr w:rsidR="000B29A2" w14:paraId="11AB97FC" w14:textId="77777777" w:rsidTr="00CF1BC0">
        <w:tc>
          <w:tcPr>
            <w:tcW w:w="7555" w:type="dxa"/>
          </w:tcPr>
          <w:p w14:paraId="11AB97F8" w14:textId="77777777" w:rsidR="000B29A2" w:rsidRDefault="000B29A2" w:rsidP="000B29A2">
            <w:pPr>
              <w:pStyle w:val="ListParagraph"/>
              <w:numPr>
                <w:ilvl w:val="0"/>
                <w:numId w:val="15"/>
              </w:numPr>
            </w:pPr>
            <w:r>
              <w:t>Investigate the process for incorporating a business. Accurately analyze practices and business forms related to the start-up of a corporation, including but not limited to stock subscriptions, dividends declaration, dividend payment, capital acquisition, and treasury stock. Include in the examination income tax filing requirements for corporations and note SEC (U.S. Securities and Exchange Commission) requirements for expansion of existing stocks in the process. Prepare an argumentative text intended for a simulated business which affirms the advantages of incorporating versus remaining a sole proprietorship or partnership.</w:t>
            </w:r>
          </w:p>
        </w:tc>
        <w:tc>
          <w:tcPr>
            <w:tcW w:w="630" w:type="dxa"/>
          </w:tcPr>
          <w:p w14:paraId="11AB97F9" w14:textId="3255C641"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1AB97FA" w14:textId="77777777" w:rsidR="000B29A2" w:rsidRDefault="000B29A2" w:rsidP="000B29A2">
            <w:pPr>
              <w:rPr>
                <w:rFonts w:ascii="Open Sans" w:eastAsia="Times New Roman" w:hAnsi="Open Sans" w:cs="Open Sans"/>
                <w:sz w:val="20"/>
                <w:szCs w:val="20"/>
              </w:rPr>
            </w:pPr>
          </w:p>
        </w:tc>
        <w:tc>
          <w:tcPr>
            <w:tcW w:w="4135" w:type="dxa"/>
          </w:tcPr>
          <w:p w14:paraId="11AB97FB" w14:textId="7EB5ADA8" w:rsidR="000B29A2" w:rsidRDefault="000B29A2" w:rsidP="000B29A2">
            <w:pPr>
              <w:rPr>
                <w:rFonts w:ascii="Open Sans" w:eastAsia="Times New Roman" w:hAnsi="Open Sans" w:cs="Open Sans"/>
                <w:sz w:val="20"/>
                <w:szCs w:val="20"/>
              </w:rPr>
            </w:pPr>
            <w:r>
              <w:t>Ch 10, 11, 12</w:t>
            </w:r>
            <w:r w:rsidR="006A113B">
              <w:t xml:space="preserve"> covers</w:t>
            </w:r>
            <w:r w:rsidR="005E4594">
              <w:t xml:space="preserve"> business incorporation </w:t>
            </w:r>
            <w:r w:rsidR="006A113B">
              <w:t xml:space="preserve">and </w:t>
            </w:r>
            <w:r w:rsidR="005E4594">
              <w:t xml:space="preserve">the related </w:t>
            </w:r>
            <w:r w:rsidR="006A113B">
              <w:t>business forms</w:t>
            </w:r>
            <w:r w:rsidR="00464154">
              <w:t>.  Also covers</w:t>
            </w:r>
            <w:r w:rsidR="006A113B">
              <w:t xml:space="preserve"> income tax filing requirements for </w:t>
            </w:r>
            <w:r w:rsidR="00464154">
              <w:t xml:space="preserve">publicly traded </w:t>
            </w:r>
            <w:r w:rsidR="006A113B">
              <w:t xml:space="preserve">corporations </w:t>
            </w:r>
          </w:p>
        </w:tc>
      </w:tr>
      <w:tr w:rsidR="000B29A2" w14:paraId="11AB9801" w14:textId="77777777" w:rsidTr="00CF1BC0">
        <w:tc>
          <w:tcPr>
            <w:tcW w:w="7555" w:type="dxa"/>
          </w:tcPr>
          <w:p w14:paraId="11AB97FD" w14:textId="77777777" w:rsidR="000B29A2" w:rsidRDefault="000B29A2" w:rsidP="000B29A2">
            <w:pPr>
              <w:pStyle w:val="ListParagraph"/>
              <w:numPr>
                <w:ilvl w:val="0"/>
                <w:numId w:val="15"/>
              </w:numPr>
              <w:tabs>
                <w:tab w:val="left" w:pos="1377"/>
              </w:tabs>
            </w:pPr>
            <w:r>
              <w:t>Investigate codes of ethics from professional organizations in accounting, personal finance, and banking and GAAP (Generally Accepted Accounting Principles) and examine areas of commonality. Synthesize principles from the codes investigated including separation of duties to create a personal code of ethics.</w:t>
            </w:r>
          </w:p>
        </w:tc>
        <w:tc>
          <w:tcPr>
            <w:tcW w:w="630" w:type="dxa"/>
          </w:tcPr>
          <w:p w14:paraId="11AB97FE" w14:textId="77777777" w:rsidR="000B29A2" w:rsidRDefault="000B29A2" w:rsidP="000B29A2">
            <w:pPr>
              <w:rPr>
                <w:rFonts w:ascii="Open Sans" w:eastAsia="Times New Roman" w:hAnsi="Open Sans" w:cs="Open Sans"/>
                <w:sz w:val="20"/>
                <w:szCs w:val="20"/>
              </w:rPr>
            </w:pPr>
          </w:p>
        </w:tc>
        <w:tc>
          <w:tcPr>
            <w:tcW w:w="630" w:type="dxa"/>
          </w:tcPr>
          <w:p w14:paraId="11AB97FF" w14:textId="1FA36FA7"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1AB9800" w14:textId="54AAB5CB" w:rsidR="000B29A2" w:rsidRDefault="000B29A2" w:rsidP="000B29A2">
            <w:pPr>
              <w:rPr>
                <w:rFonts w:ascii="Open Sans" w:eastAsia="Times New Roman" w:hAnsi="Open Sans" w:cs="Open Sans"/>
                <w:sz w:val="20"/>
                <w:szCs w:val="20"/>
              </w:rPr>
            </w:pPr>
            <w:r>
              <w:rPr>
                <w:highlight w:val="yellow"/>
              </w:rPr>
              <w:t xml:space="preserve">NO - </w:t>
            </w:r>
            <w:r w:rsidRPr="00507BB6">
              <w:rPr>
                <w:highlight w:val="yellow"/>
              </w:rPr>
              <w:t>This standard requires the student to access outside information (</w:t>
            </w:r>
            <w:r>
              <w:rPr>
                <w:highlight w:val="yellow"/>
              </w:rPr>
              <w:t>such as the AICPA Code of Ethics</w:t>
            </w:r>
            <w:r w:rsidRPr="00507BB6">
              <w:rPr>
                <w:highlight w:val="yellow"/>
              </w:rPr>
              <w:t xml:space="preserve">) which </w:t>
            </w:r>
            <w:r>
              <w:rPr>
                <w:highlight w:val="yellow"/>
              </w:rPr>
              <w:t xml:space="preserve">is not </w:t>
            </w:r>
            <w:r w:rsidRPr="00507BB6">
              <w:rPr>
                <w:highlight w:val="yellow"/>
              </w:rPr>
              <w:t xml:space="preserve">incorporated into the textbook.  However, </w:t>
            </w:r>
            <w:r>
              <w:rPr>
                <w:highlight w:val="yellow"/>
              </w:rPr>
              <w:t xml:space="preserve">GAAP is referenced throughout the text (the TN standard does not acknowledge that GAAP is accounting standards, and is not a regulatory body with codes of ethics).  The text also references Internal Controls in chapter 20.  The text will assist the student in gathering knowledge level information about internal controls to assist with the second part of the TN Standard.  </w:t>
            </w:r>
          </w:p>
        </w:tc>
      </w:tr>
      <w:tr w:rsidR="000B29A2" w14:paraId="11AB9806" w14:textId="77777777" w:rsidTr="00CF1BC0">
        <w:tc>
          <w:tcPr>
            <w:tcW w:w="7555" w:type="dxa"/>
          </w:tcPr>
          <w:p w14:paraId="11AB9802" w14:textId="77777777" w:rsidR="000B29A2" w:rsidRDefault="000B29A2" w:rsidP="000B29A2">
            <w:pPr>
              <w:pStyle w:val="ListParagraph"/>
              <w:numPr>
                <w:ilvl w:val="0"/>
                <w:numId w:val="15"/>
              </w:numPr>
            </w:pPr>
            <w:r>
              <w:t>Examine real-world situations that involve ethical dilemmas and the application of correct professional conduct as highlighted in recent news articles. Craft an argumentative essay making a claim about the importance of ethics and professional standards for persons working in the accounting pathway, citing examples from case studies to argue for the relevance of professional codes of conduct.</w:t>
            </w:r>
          </w:p>
        </w:tc>
        <w:tc>
          <w:tcPr>
            <w:tcW w:w="630" w:type="dxa"/>
          </w:tcPr>
          <w:p w14:paraId="11AB9803" w14:textId="77777777" w:rsidR="000B29A2" w:rsidRDefault="000B29A2" w:rsidP="000B29A2">
            <w:pPr>
              <w:rPr>
                <w:rFonts w:ascii="Open Sans" w:eastAsia="Times New Roman" w:hAnsi="Open Sans" w:cs="Open Sans"/>
                <w:sz w:val="20"/>
                <w:szCs w:val="20"/>
              </w:rPr>
            </w:pPr>
          </w:p>
        </w:tc>
        <w:tc>
          <w:tcPr>
            <w:tcW w:w="630" w:type="dxa"/>
          </w:tcPr>
          <w:p w14:paraId="11AB9804" w14:textId="5BFF0A72" w:rsidR="000B29A2" w:rsidRDefault="007D38D4" w:rsidP="000B29A2">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1AB9805" w14:textId="340D05FD" w:rsidR="000B29A2" w:rsidRDefault="000B29A2" w:rsidP="000B29A2">
            <w:pPr>
              <w:rPr>
                <w:rFonts w:ascii="Open Sans" w:eastAsia="Times New Roman" w:hAnsi="Open Sans" w:cs="Open Sans"/>
                <w:sz w:val="20"/>
                <w:szCs w:val="20"/>
              </w:rPr>
            </w:pPr>
            <w:r>
              <w:rPr>
                <w:highlight w:val="yellow"/>
              </w:rPr>
              <w:t xml:space="preserve">NO - </w:t>
            </w:r>
            <w:r w:rsidRPr="00507BB6">
              <w:rPr>
                <w:highlight w:val="yellow"/>
              </w:rPr>
              <w:t xml:space="preserve">This standard requires the student to access outside information </w:t>
            </w:r>
            <w:r>
              <w:rPr>
                <w:highlight w:val="yellow"/>
              </w:rPr>
              <w:t>(accounting ethical dilemmas in recent news</w:t>
            </w:r>
            <w:r w:rsidRPr="00507BB6">
              <w:rPr>
                <w:highlight w:val="yellow"/>
              </w:rPr>
              <w:t xml:space="preserve">) which cannot be incorporated into the textbook.  </w:t>
            </w:r>
            <w:r>
              <w:rPr>
                <w:highlight w:val="yellow"/>
              </w:rPr>
              <w:t>However, the “Ethics In Action” features of the text support the knowledge level information to assist with this standard.</w:t>
            </w:r>
          </w:p>
        </w:tc>
      </w:tr>
    </w:tbl>
    <w:p w14:paraId="11AB9807" w14:textId="77777777"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11AB9869" w14:textId="77777777" w:rsidTr="00981326">
        <w:trPr>
          <w:trHeight w:val="267"/>
        </w:trPr>
        <w:tc>
          <w:tcPr>
            <w:tcW w:w="13883" w:type="dxa"/>
            <w:gridSpan w:val="2"/>
            <w:shd w:val="clear" w:color="auto" w:fill="F2F2F2" w:themeFill="background1" w:themeFillShade="F2"/>
          </w:tcPr>
          <w:p w14:paraId="11AB9866"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11AB9867"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11AB9868"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11AB986B" w14:textId="77777777" w:rsidTr="00981326">
        <w:trPr>
          <w:trHeight w:val="267"/>
        </w:trPr>
        <w:tc>
          <w:tcPr>
            <w:tcW w:w="13883" w:type="dxa"/>
            <w:gridSpan w:val="2"/>
            <w:shd w:val="clear" w:color="auto" w:fill="F2F2F2" w:themeFill="background1" w:themeFillShade="F2"/>
          </w:tcPr>
          <w:p w14:paraId="11AB986A"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11AB9882" w14:textId="77777777" w:rsidTr="00421523">
        <w:trPr>
          <w:trHeight w:val="6406"/>
        </w:trPr>
        <w:tc>
          <w:tcPr>
            <w:tcW w:w="13883" w:type="dxa"/>
            <w:gridSpan w:val="2"/>
          </w:tcPr>
          <w:p w14:paraId="11AB986C"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11AB9870" w14:textId="77777777" w:rsidTr="004E6690">
              <w:trPr>
                <w:trHeight w:val="1304"/>
              </w:trPr>
              <w:tc>
                <w:tcPr>
                  <w:tcW w:w="10210" w:type="dxa"/>
                  <w:shd w:val="clear" w:color="auto" w:fill="F2F2F2" w:themeFill="background1" w:themeFillShade="F2"/>
                  <w:vAlign w:val="center"/>
                </w:tcPr>
                <w:p w14:paraId="11AB986D" w14:textId="77777777" w:rsidR="00981326" w:rsidRPr="00D53761" w:rsidRDefault="00981326" w:rsidP="00643919">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11AB986E" w14:textId="64A6A5DD"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1C7662">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11AB986F" w14:textId="77777777"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1AB9874" w14:textId="77777777" w:rsidTr="004E6690">
              <w:trPr>
                <w:trHeight w:val="1250"/>
              </w:trPr>
              <w:tc>
                <w:tcPr>
                  <w:tcW w:w="10210" w:type="dxa"/>
                  <w:shd w:val="clear" w:color="auto" w:fill="F2F2F2" w:themeFill="background1" w:themeFillShade="F2"/>
                  <w:vAlign w:val="center"/>
                </w:tcPr>
                <w:p w14:paraId="11AB9871" w14:textId="77777777" w:rsidR="00981326" w:rsidRPr="00D53761" w:rsidRDefault="00981326" w:rsidP="0064391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11AB9872" w14:textId="6835ED65"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1C7662">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11AB9873" w14:textId="77777777"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1AB9878" w14:textId="77777777" w:rsidTr="004E6690">
              <w:trPr>
                <w:trHeight w:val="1250"/>
              </w:trPr>
              <w:tc>
                <w:tcPr>
                  <w:tcW w:w="10210" w:type="dxa"/>
                  <w:shd w:val="clear" w:color="auto" w:fill="F2F2F2" w:themeFill="background1" w:themeFillShade="F2"/>
                  <w:vAlign w:val="center"/>
                </w:tcPr>
                <w:p w14:paraId="11AB9875" w14:textId="77777777" w:rsidR="00981326" w:rsidRPr="00D53761" w:rsidRDefault="00981326" w:rsidP="0064391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11AB9876" w14:textId="77E11AEC"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1C7662">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11AB9877" w14:textId="77777777"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1AB987C" w14:textId="77777777" w:rsidTr="004E6690">
              <w:trPr>
                <w:trHeight w:val="1160"/>
              </w:trPr>
              <w:tc>
                <w:tcPr>
                  <w:tcW w:w="10210" w:type="dxa"/>
                  <w:shd w:val="clear" w:color="auto" w:fill="F2F2F2" w:themeFill="background1" w:themeFillShade="F2"/>
                  <w:vAlign w:val="center"/>
                </w:tcPr>
                <w:p w14:paraId="11AB9879" w14:textId="77777777" w:rsidR="00981326" w:rsidRPr="00D53761" w:rsidRDefault="00981326" w:rsidP="0064391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11AB987A" w14:textId="11D2CAC5"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1C7662">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11AB987B" w14:textId="77777777"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1AB9880" w14:textId="77777777" w:rsidTr="004E6690">
              <w:trPr>
                <w:trHeight w:val="1349"/>
              </w:trPr>
              <w:tc>
                <w:tcPr>
                  <w:tcW w:w="10210" w:type="dxa"/>
                  <w:shd w:val="clear" w:color="auto" w:fill="F2F2F2" w:themeFill="background1" w:themeFillShade="F2"/>
                  <w:vAlign w:val="center"/>
                </w:tcPr>
                <w:p w14:paraId="11AB987D" w14:textId="77777777" w:rsidR="00981326" w:rsidRPr="00D53761" w:rsidRDefault="00981326" w:rsidP="00643919">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11AB987E" w14:textId="5EB9A4EE"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1C7662">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11AB987F" w14:textId="77777777" w:rsidR="00981326" w:rsidRPr="00D53761" w:rsidRDefault="00981326" w:rsidP="0064391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11AB9881" w14:textId="77777777" w:rsidR="00981326" w:rsidRPr="00D53761" w:rsidRDefault="00981326" w:rsidP="00981326">
            <w:pPr>
              <w:tabs>
                <w:tab w:val="left" w:pos="1065"/>
              </w:tabs>
              <w:rPr>
                <w:rFonts w:ascii="Open Sans" w:hAnsi="Open Sans" w:cs="Open Sans"/>
                <w:sz w:val="20"/>
                <w:szCs w:val="20"/>
              </w:rPr>
            </w:pPr>
          </w:p>
        </w:tc>
      </w:tr>
      <w:tr w:rsidR="00981326" w:rsidRPr="00D53761" w14:paraId="11AB9886" w14:textId="77777777" w:rsidTr="00421523">
        <w:trPr>
          <w:trHeight w:val="925"/>
        </w:trPr>
        <w:tc>
          <w:tcPr>
            <w:tcW w:w="10350" w:type="dxa"/>
            <w:shd w:val="clear" w:color="auto" w:fill="F2F2F2" w:themeFill="background1" w:themeFillShade="F2"/>
            <w:vAlign w:val="center"/>
          </w:tcPr>
          <w:p w14:paraId="11AB9883"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11AB9884"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11AB9885" w14:textId="12F9359A"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w:t>
            </w:r>
            <w:r w:rsidR="001C7662">
              <w:rPr>
                <w:rFonts w:ascii="Open Sans" w:hAnsi="Open Sans" w:cs="Open Sans"/>
                <w:b/>
                <w:sz w:val="20"/>
                <w:szCs w:val="20"/>
              </w:rPr>
              <w:t>X</w:t>
            </w:r>
            <w:r w:rsidRPr="00D53761">
              <w:rPr>
                <w:rFonts w:ascii="Open Sans" w:hAnsi="Open Sans" w:cs="Open Sans"/>
                <w:b/>
                <w:sz w:val="20"/>
                <w:szCs w:val="20"/>
              </w:rPr>
              <w:t>____     No _____</w:t>
            </w:r>
          </w:p>
        </w:tc>
      </w:tr>
      <w:tr w:rsidR="00981326" w:rsidRPr="00D53761" w14:paraId="11AB9888" w14:textId="77777777" w:rsidTr="00981326">
        <w:trPr>
          <w:trHeight w:val="1358"/>
        </w:trPr>
        <w:tc>
          <w:tcPr>
            <w:tcW w:w="13883" w:type="dxa"/>
            <w:gridSpan w:val="2"/>
          </w:tcPr>
          <w:p w14:paraId="7450408F"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45C9AAB4" w14:textId="77777777" w:rsidR="001C7662" w:rsidRDefault="001C7662" w:rsidP="001C7662">
            <w:r w:rsidRPr="003862BB">
              <w:t xml:space="preserve">The </w:t>
            </w:r>
            <w:r>
              <w:t>Century 21 Accounting Advanced text</w:t>
            </w:r>
            <w:r w:rsidRPr="003862BB">
              <w:t xml:space="preserve"> is </w:t>
            </w:r>
            <w:r>
              <w:t xml:space="preserve">rigorous and provides advanced level accounting applications to the theoretical content.  Each chapter begins with learning objectives and “Accounting in the Real World” opener.  Chapter section instructional material contains highlighted key terms and is followed by section reviews: “Audit your Understanding,” “Work together,” and “On Your Own” activities.  Chapter activities include end-of-chapter “Application Problems,” “Mastery Problems,” and “Challenge Problems,” which challenge students to apply concepts to new understandings at differentiated ability levels.  Additional end-of-chapter problems such as “Auditing for Errors” allow students to transfer understandings to new situations.  The text is written at an appropriate Lexile level for learners who would be enrolled in this class and mathematics applications are at an appropriate level.  Literacy and math instruction is reinforced throughout the book.  Online crossword puzzles, flashcards, and glossary activities support the development of fluency and domain-specific vocabulary.  </w:t>
            </w:r>
          </w:p>
          <w:p w14:paraId="11AB9887" w14:textId="081A4EDE" w:rsidR="001C7662" w:rsidRPr="00D53761" w:rsidRDefault="001C7662" w:rsidP="00981326">
            <w:pPr>
              <w:rPr>
                <w:rFonts w:ascii="Open Sans" w:hAnsi="Open Sans" w:cs="Open Sans"/>
                <w:b/>
                <w:sz w:val="20"/>
                <w:szCs w:val="20"/>
              </w:rPr>
            </w:pPr>
          </w:p>
        </w:tc>
      </w:tr>
    </w:tbl>
    <w:p w14:paraId="11AB9889" w14:textId="77777777" w:rsidR="00D53761" w:rsidRPr="00D53761" w:rsidRDefault="00D53761" w:rsidP="00D53761">
      <w:pPr>
        <w:spacing w:after="0" w:line="240" w:lineRule="auto"/>
        <w:rPr>
          <w:rFonts w:ascii="Open Sans" w:eastAsia="Times New Roman" w:hAnsi="Open Sans" w:cs="Open Sans"/>
          <w:sz w:val="20"/>
          <w:szCs w:val="20"/>
        </w:rPr>
      </w:pPr>
    </w:p>
    <w:p w14:paraId="11AB988A" w14:textId="77777777" w:rsidR="00D53761" w:rsidRPr="00D53761" w:rsidRDefault="00D53761" w:rsidP="00D53761">
      <w:pPr>
        <w:spacing w:after="0" w:line="240" w:lineRule="auto"/>
        <w:rPr>
          <w:rFonts w:ascii="Open Sans" w:eastAsia="Times New Roman" w:hAnsi="Open Sans" w:cs="Open Sans"/>
          <w:sz w:val="20"/>
          <w:szCs w:val="20"/>
        </w:rPr>
      </w:pPr>
    </w:p>
    <w:p w14:paraId="11AB988B" w14:textId="77777777" w:rsidR="00D53761" w:rsidRPr="00D53761" w:rsidRDefault="00D53761" w:rsidP="00D53761">
      <w:pPr>
        <w:spacing w:after="0"/>
        <w:ind w:left="720"/>
        <w:contextualSpacing/>
        <w:rPr>
          <w:rFonts w:ascii="Open Sans" w:hAnsi="Open Sans" w:cs="Open Sans"/>
          <w:sz w:val="20"/>
          <w:szCs w:val="20"/>
        </w:rPr>
      </w:pPr>
    </w:p>
    <w:p w14:paraId="11AB988C"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11AB9890" w14:textId="77777777" w:rsidTr="004E6690">
        <w:trPr>
          <w:trHeight w:val="267"/>
        </w:trPr>
        <w:tc>
          <w:tcPr>
            <w:tcW w:w="13860" w:type="dxa"/>
            <w:gridSpan w:val="2"/>
            <w:shd w:val="clear" w:color="auto" w:fill="F2F2F2" w:themeFill="background1" w:themeFillShade="F2"/>
          </w:tcPr>
          <w:p w14:paraId="11AB988D"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11AB988E"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11AB988F"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11AB9892" w14:textId="77777777" w:rsidTr="004E6690">
        <w:trPr>
          <w:trHeight w:val="323"/>
        </w:trPr>
        <w:tc>
          <w:tcPr>
            <w:tcW w:w="13860" w:type="dxa"/>
            <w:gridSpan w:val="2"/>
            <w:shd w:val="clear" w:color="auto" w:fill="F2F2F2" w:themeFill="background1" w:themeFillShade="F2"/>
          </w:tcPr>
          <w:p w14:paraId="11AB9891"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11AB98A5" w14:textId="77777777" w:rsidTr="004E6690">
        <w:trPr>
          <w:trHeight w:val="2807"/>
        </w:trPr>
        <w:tc>
          <w:tcPr>
            <w:tcW w:w="13860" w:type="dxa"/>
            <w:gridSpan w:val="2"/>
          </w:tcPr>
          <w:p w14:paraId="11AB9893"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11AB9897" w14:textId="77777777" w:rsidTr="004E6690">
              <w:trPr>
                <w:trHeight w:val="1007"/>
              </w:trPr>
              <w:tc>
                <w:tcPr>
                  <w:tcW w:w="3754" w:type="pct"/>
                  <w:shd w:val="clear" w:color="auto" w:fill="F2F2F2" w:themeFill="background1" w:themeFillShade="F2"/>
                  <w:vAlign w:val="center"/>
                </w:tcPr>
                <w:p w14:paraId="11AB9894"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11AB9895" w14:textId="015630DD"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0B5E40">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11AB9896"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11AB989B" w14:textId="77777777" w:rsidTr="004E6690">
              <w:trPr>
                <w:trHeight w:val="962"/>
              </w:trPr>
              <w:tc>
                <w:tcPr>
                  <w:tcW w:w="3754" w:type="pct"/>
                  <w:shd w:val="clear" w:color="auto" w:fill="F2F2F2" w:themeFill="background1" w:themeFillShade="F2"/>
                  <w:vAlign w:val="center"/>
                </w:tcPr>
                <w:p w14:paraId="11AB9898"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11AB9899" w14:textId="629D33E6"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0B5E40">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14:paraId="11AB989A"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11AB989F" w14:textId="77777777" w:rsidTr="004E6690">
              <w:trPr>
                <w:trHeight w:val="962"/>
              </w:trPr>
              <w:tc>
                <w:tcPr>
                  <w:tcW w:w="3754" w:type="pct"/>
                  <w:shd w:val="clear" w:color="auto" w:fill="F2F2F2" w:themeFill="background1" w:themeFillShade="F2"/>
                  <w:vAlign w:val="center"/>
                </w:tcPr>
                <w:p w14:paraId="11AB989C"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11AB989D" w14:textId="43DCDF70"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B5E40">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11AB989E"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11AB98A3" w14:textId="77777777" w:rsidTr="004E6690">
              <w:trPr>
                <w:trHeight w:val="962"/>
              </w:trPr>
              <w:tc>
                <w:tcPr>
                  <w:tcW w:w="3754" w:type="pct"/>
                  <w:shd w:val="clear" w:color="auto" w:fill="F2F2F2" w:themeFill="background1" w:themeFillShade="F2"/>
                  <w:vAlign w:val="center"/>
                </w:tcPr>
                <w:p w14:paraId="11AB98A0"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11AB98A1" w14:textId="0B74ABAD"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B5E40">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11AB98A2"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11AB98A4" w14:textId="77777777" w:rsidR="00D53761" w:rsidRPr="00D53761" w:rsidRDefault="00D53761" w:rsidP="00D53761">
            <w:pPr>
              <w:rPr>
                <w:rFonts w:ascii="Open Sans" w:hAnsi="Open Sans" w:cs="Open Sans"/>
                <w:sz w:val="20"/>
                <w:szCs w:val="20"/>
              </w:rPr>
            </w:pPr>
          </w:p>
        </w:tc>
      </w:tr>
      <w:tr w:rsidR="00D53761" w:rsidRPr="00D53761" w14:paraId="11AB98AA" w14:textId="77777777" w:rsidTr="004E6690">
        <w:trPr>
          <w:trHeight w:val="1043"/>
        </w:trPr>
        <w:tc>
          <w:tcPr>
            <w:tcW w:w="10350" w:type="dxa"/>
            <w:shd w:val="clear" w:color="auto" w:fill="F2F2F2" w:themeFill="background1" w:themeFillShade="F2"/>
            <w:vAlign w:val="center"/>
          </w:tcPr>
          <w:p w14:paraId="11AB98A6"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11AB98A7"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11AB98A8" w14:textId="77777777" w:rsidR="00D53761" w:rsidRPr="00D53761" w:rsidRDefault="00D53761" w:rsidP="00D53761">
            <w:pPr>
              <w:jc w:val="center"/>
              <w:rPr>
                <w:rFonts w:ascii="Open Sans" w:hAnsi="Open Sans" w:cs="Open Sans"/>
                <w:b/>
                <w:sz w:val="20"/>
                <w:szCs w:val="20"/>
              </w:rPr>
            </w:pPr>
          </w:p>
          <w:p w14:paraId="11AB98A9" w14:textId="15EAB31D"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0B5E40">
              <w:rPr>
                <w:rFonts w:ascii="Open Sans" w:hAnsi="Open Sans" w:cs="Open Sans"/>
                <w:b/>
                <w:sz w:val="20"/>
                <w:szCs w:val="20"/>
              </w:rPr>
              <w:t>X</w:t>
            </w:r>
            <w:r w:rsidRPr="00D53761">
              <w:rPr>
                <w:rFonts w:ascii="Open Sans" w:hAnsi="Open Sans" w:cs="Open Sans"/>
                <w:b/>
                <w:sz w:val="20"/>
                <w:szCs w:val="20"/>
              </w:rPr>
              <w:t>___     No _____</w:t>
            </w:r>
          </w:p>
        </w:tc>
      </w:tr>
      <w:tr w:rsidR="00D53761" w:rsidRPr="00D53761" w14:paraId="11AB98AC" w14:textId="77777777" w:rsidTr="004E6690">
        <w:trPr>
          <w:trHeight w:val="2159"/>
        </w:trPr>
        <w:tc>
          <w:tcPr>
            <w:tcW w:w="13860" w:type="dxa"/>
            <w:gridSpan w:val="2"/>
          </w:tcPr>
          <w:p w14:paraId="017C9FDE"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14:paraId="1011E5BE" w14:textId="77777777" w:rsidR="007D38D4" w:rsidRDefault="007D38D4" w:rsidP="007D38D4">
            <w:r>
              <w:t>The vendor materials aligns content to appropriate careers and show a variety of opportunities at multiple exit points through the “Careers in Accounting” features (this feature highlights several accounting careers from partners of CPA firms to credit analyst).  Relevant certifications and credentials are discussed and explained to the student throughout the book through the Careers in Accounting Features and “Explore Accounting,” Accounting Certifications (p. 30).  The vendor resources contain opportunities for students to practice or reflect upon 21</w:t>
            </w:r>
            <w:r w:rsidRPr="00F03C03">
              <w:rPr>
                <w:vertAlign w:val="superscript"/>
              </w:rPr>
              <w:t>st</w:t>
            </w:r>
            <w:r>
              <w:t xml:space="preserve"> century skill through the “21</w:t>
            </w:r>
            <w:r w:rsidRPr="001F7D4F">
              <w:rPr>
                <w:vertAlign w:val="superscript"/>
              </w:rPr>
              <w:t>st</w:t>
            </w:r>
            <w:r>
              <w:t xml:space="preserve"> Century Skills” projects at the end of each chapter.      </w:t>
            </w:r>
          </w:p>
          <w:p w14:paraId="11AB98AB" w14:textId="67E619E7" w:rsidR="000B5E40" w:rsidRPr="00D53761" w:rsidRDefault="000B5E40" w:rsidP="00D53761">
            <w:pPr>
              <w:keepNext/>
              <w:outlineLvl w:val="4"/>
              <w:rPr>
                <w:rFonts w:ascii="Open Sans" w:hAnsi="Open Sans" w:cs="Open Sans"/>
                <w:b/>
                <w:sz w:val="20"/>
                <w:szCs w:val="20"/>
              </w:rPr>
            </w:pPr>
          </w:p>
        </w:tc>
      </w:tr>
    </w:tbl>
    <w:p w14:paraId="11AB98AD" w14:textId="77777777" w:rsidR="00D53761" w:rsidRPr="00D53761" w:rsidRDefault="00D53761" w:rsidP="00D53761">
      <w:pPr>
        <w:spacing w:after="0"/>
        <w:ind w:left="720"/>
        <w:contextualSpacing/>
        <w:rPr>
          <w:rFonts w:ascii="Open Sans" w:hAnsi="Open Sans" w:cs="Open Sans"/>
          <w:sz w:val="20"/>
          <w:szCs w:val="20"/>
        </w:rPr>
      </w:pPr>
    </w:p>
    <w:p w14:paraId="11AB98AE" w14:textId="77777777" w:rsidR="00D53761" w:rsidRPr="00D53761" w:rsidRDefault="00D53761" w:rsidP="00D53761">
      <w:pPr>
        <w:spacing w:after="0"/>
        <w:ind w:left="720"/>
        <w:contextualSpacing/>
        <w:rPr>
          <w:rFonts w:ascii="Open Sans" w:hAnsi="Open Sans" w:cs="Open Sans"/>
          <w:sz w:val="20"/>
          <w:szCs w:val="20"/>
        </w:rPr>
      </w:pPr>
    </w:p>
    <w:p w14:paraId="11AB98AF"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11AB98B4" w14:textId="77777777" w:rsidTr="004E6690">
        <w:trPr>
          <w:trHeight w:val="1384"/>
        </w:trPr>
        <w:tc>
          <w:tcPr>
            <w:tcW w:w="10350" w:type="dxa"/>
            <w:shd w:val="clear" w:color="auto" w:fill="F2F2F2" w:themeFill="background1" w:themeFillShade="F2"/>
            <w:vAlign w:val="center"/>
          </w:tcPr>
          <w:p w14:paraId="11AB98B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11AB98B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11AB98B2"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11AB98B3" w14:textId="62409AC4"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7D38D4">
              <w:rPr>
                <w:rFonts w:ascii="Open Sans" w:hAnsi="Open Sans" w:cs="Open Sans"/>
                <w:b/>
                <w:sz w:val="20"/>
                <w:szCs w:val="20"/>
              </w:rPr>
              <w:t>X</w:t>
            </w:r>
            <w:r w:rsidRPr="00D53761">
              <w:rPr>
                <w:rFonts w:ascii="Open Sans" w:hAnsi="Open Sans" w:cs="Open Sans"/>
                <w:b/>
                <w:sz w:val="20"/>
                <w:szCs w:val="20"/>
              </w:rPr>
              <w:t>___       No _____</w:t>
            </w:r>
          </w:p>
        </w:tc>
      </w:tr>
    </w:tbl>
    <w:p w14:paraId="11AB98B5"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11AB98B7" w14:textId="77777777" w:rsidTr="004E6690">
        <w:tc>
          <w:tcPr>
            <w:tcW w:w="13860" w:type="dxa"/>
            <w:shd w:val="clear" w:color="auto" w:fill="F2F2F2" w:themeFill="background1" w:themeFillShade="F2"/>
            <w:vAlign w:val="center"/>
          </w:tcPr>
          <w:p w14:paraId="11AB98B6"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11AB98C1" w14:textId="77777777" w:rsidTr="004E6690">
        <w:tc>
          <w:tcPr>
            <w:tcW w:w="13860" w:type="dxa"/>
          </w:tcPr>
          <w:p w14:paraId="11AB98B8" w14:textId="77777777" w:rsidR="00D53761" w:rsidRPr="00D53761" w:rsidRDefault="00D53761" w:rsidP="00D53761">
            <w:pPr>
              <w:contextualSpacing/>
              <w:rPr>
                <w:rFonts w:ascii="Open Sans" w:hAnsi="Open Sans" w:cs="Open Sans"/>
                <w:sz w:val="20"/>
                <w:szCs w:val="20"/>
              </w:rPr>
            </w:pPr>
          </w:p>
          <w:p w14:paraId="11AB98B9"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11AB98BA" w14:textId="77777777" w:rsidR="00D53761" w:rsidRPr="00D53761" w:rsidRDefault="00D53761" w:rsidP="00D53761">
            <w:pPr>
              <w:contextualSpacing/>
              <w:rPr>
                <w:rFonts w:ascii="Open Sans" w:hAnsi="Open Sans" w:cs="Open Sans"/>
                <w:sz w:val="20"/>
                <w:szCs w:val="20"/>
              </w:rPr>
            </w:pPr>
          </w:p>
          <w:p w14:paraId="11AB98BB"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11AB98BC" w14:textId="77777777" w:rsidR="00D53761" w:rsidRPr="00D53761" w:rsidRDefault="00D53761" w:rsidP="00D53761">
            <w:pPr>
              <w:contextualSpacing/>
              <w:rPr>
                <w:rFonts w:ascii="Open Sans" w:hAnsi="Open Sans" w:cs="Open Sans"/>
                <w:sz w:val="20"/>
                <w:szCs w:val="20"/>
              </w:rPr>
            </w:pPr>
          </w:p>
          <w:p w14:paraId="11AB98BD"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14:paraId="11AB98BE"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14:paraId="11AB98BF"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11AB98C0" w14:textId="77777777" w:rsidR="00D53761" w:rsidRPr="00D53761" w:rsidRDefault="00D53761" w:rsidP="00D53761">
            <w:pPr>
              <w:contextualSpacing/>
              <w:rPr>
                <w:rFonts w:ascii="Open Sans" w:hAnsi="Open Sans" w:cs="Open Sans"/>
                <w:sz w:val="20"/>
                <w:szCs w:val="20"/>
              </w:rPr>
            </w:pPr>
          </w:p>
        </w:tc>
      </w:tr>
    </w:tbl>
    <w:p w14:paraId="11AB98C2"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11AB98C6" w14:textId="77777777" w:rsidTr="00CB7852">
        <w:tc>
          <w:tcPr>
            <w:tcW w:w="8730" w:type="dxa"/>
            <w:shd w:val="clear" w:color="auto" w:fill="F2F2F2" w:themeFill="background1" w:themeFillShade="F2"/>
            <w:vAlign w:val="center"/>
          </w:tcPr>
          <w:p w14:paraId="11AB98C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14:paraId="11AB98C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11AB98C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CB7852" w:rsidRPr="00D53761" w14:paraId="11AB98CA" w14:textId="77777777" w:rsidTr="00CB7852">
        <w:trPr>
          <w:trHeight w:val="1736"/>
        </w:trPr>
        <w:tc>
          <w:tcPr>
            <w:tcW w:w="8730" w:type="dxa"/>
            <w:vAlign w:val="center"/>
          </w:tcPr>
          <w:p w14:paraId="11AB98C7" w14:textId="77777777" w:rsidR="00CB7852" w:rsidRPr="00D53761" w:rsidRDefault="00CB7852" w:rsidP="00CB7852">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11AB98C8" w14:textId="44395E7D" w:rsidR="00CB7852" w:rsidRPr="00D53761" w:rsidRDefault="00CB7852" w:rsidP="00CB7852">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4B190E52" w14:textId="77777777" w:rsidR="00CB7852" w:rsidRDefault="00CB7852" w:rsidP="00CB7852">
            <w:r>
              <w:t xml:space="preserve">2 – </w:t>
            </w:r>
          </w:p>
          <w:p w14:paraId="1B474AF0" w14:textId="77777777" w:rsidR="00CB7852" w:rsidRPr="00953273" w:rsidRDefault="00CB7852" w:rsidP="00CB7852">
            <w:pPr>
              <w:rPr>
                <w:b/>
              </w:rPr>
            </w:pPr>
            <w:r w:rsidRPr="0072299A">
              <w:rPr>
                <w:u w:val="single"/>
              </w:rPr>
              <w:t>Certification</w:t>
            </w:r>
            <w:r>
              <w:t xml:space="preserve">:  Relevant certifications and credentials are discussed and explained to the student throughout the book through the Careers in Accounting Features and “Explore Accounting,” Accounting Certifications (p. 30).  </w:t>
            </w:r>
          </w:p>
          <w:p w14:paraId="11AB98C9" w14:textId="1912A94A" w:rsidR="00CB7852" w:rsidRPr="00D53761" w:rsidRDefault="00CB7852" w:rsidP="00CB7852">
            <w:pPr>
              <w:contextualSpacing/>
              <w:rPr>
                <w:rFonts w:ascii="Open Sans" w:hAnsi="Open Sans" w:cs="Open Sans"/>
                <w:sz w:val="20"/>
                <w:szCs w:val="20"/>
              </w:rPr>
            </w:pPr>
            <w:r w:rsidRPr="0072299A">
              <w:rPr>
                <w:u w:val="single"/>
              </w:rPr>
              <w:t>Software</w:t>
            </w:r>
            <w:r>
              <w:t>:  Vendor resources provide files to incorporate automated accounting fundamentals.  All of the major accounting software applications are represented (Excel, QuickBooks, Sage 50, and Automated Accounting Online-proprietary to vendor materials).</w:t>
            </w:r>
          </w:p>
        </w:tc>
      </w:tr>
      <w:tr w:rsidR="00CB7852" w:rsidRPr="00D53761" w14:paraId="11AB98CE" w14:textId="77777777" w:rsidTr="00CB7852">
        <w:trPr>
          <w:trHeight w:val="1979"/>
        </w:trPr>
        <w:tc>
          <w:tcPr>
            <w:tcW w:w="8730" w:type="dxa"/>
            <w:vAlign w:val="center"/>
          </w:tcPr>
          <w:p w14:paraId="11AB98CB" w14:textId="77777777" w:rsidR="00CB7852" w:rsidRPr="00D53761" w:rsidRDefault="00CB7852" w:rsidP="00CB7852">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11AB98CC" w14:textId="67EAAAC3" w:rsidR="00CB7852" w:rsidRPr="00D53761" w:rsidRDefault="00CB7852" w:rsidP="00CB7852">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11AB98CD" w14:textId="7BF53606" w:rsidR="00CB7852" w:rsidRPr="00D53761" w:rsidRDefault="00CB7852" w:rsidP="00CB7852">
            <w:pPr>
              <w:contextualSpacing/>
              <w:rPr>
                <w:rFonts w:ascii="Open Sans" w:hAnsi="Open Sans" w:cs="Open Sans"/>
                <w:sz w:val="20"/>
                <w:szCs w:val="20"/>
              </w:rPr>
            </w:pPr>
            <w:r>
              <w:t xml:space="preserve">2 - Chapter activities include end-of-chapter “Application Problems,” “Mastery Problems,” and “Challenge Problems,” which challenge students to apply concepts to new understandings at differentiated ability levels.  Additional end-of-chapter problems such as “Auditing for Errors” allow students to transfer understandings to new situations.  </w:t>
            </w:r>
          </w:p>
        </w:tc>
      </w:tr>
      <w:tr w:rsidR="00CB7852" w:rsidRPr="00D53761" w14:paraId="11AB98D2" w14:textId="77777777" w:rsidTr="00CB7852">
        <w:trPr>
          <w:trHeight w:val="1979"/>
        </w:trPr>
        <w:tc>
          <w:tcPr>
            <w:tcW w:w="8730" w:type="dxa"/>
            <w:vAlign w:val="center"/>
          </w:tcPr>
          <w:p w14:paraId="11AB98CF" w14:textId="77777777" w:rsidR="00CB7852" w:rsidRPr="00D53761" w:rsidRDefault="00CB7852" w:rsidP="00CB7852">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11AB98D0" w14:textId="30A5F460" w:rsidR="00CB7852" w:rsidRPr="00D53761" w:rsidRDefault="00CB7852" w:rsidP="00CB7852">
            <w:pPr>
              <w:contextualSpacing/>
              <w:jc w:val="center"/>
              <w:rPr>
                <w:rFonts w:ascii="Open Sans" w:hAnsi="Open Sans" w:cs="Open Sans"/>
                <w:sz w:val="20"/>
                <w:szCs w:val="20"/>
              </w:rPr>
            </w:pPr>
            <w:r w:rsidRPr="00D34E38">
              <w:rPr>
                <w:rFonts w:ascii="Open Sans" w:hAnsi="Open Sans" w:cs="Open Sans"/>
                <w:sz w:val="20"/>
                <w:szCs w:val="20"/>
                <w:highlight w:val="yellow"/>
              </w:rPr>
              <w:t xml:space="preserve">2 </w:t>
            </w:r>
            <w:r w:rsidRPr="00D53761">
              <w:rPr>
                <w:rFonts w:ascii="Open Sans" w:hAnsi="Open Sans" w:cs="Open Sans"/>
                <w:sz w:val="20"/>
                <w:szCs w:val="20"/>
              </w:rPr>
              <w:t xml:space="preserve">     1     0</w:t>
            </w:r>
          </w:p>
        </w:tc>
        <w:tc>
          <w:tcPr>
            <w:tcW w:w="2988" w:type="dxa"/>
            <w:shd w:val="clear" w:color="auto" w:fill="FFFFFF" w:themeFill="background1"/>
          </w:tcPr>
          <w:p w14:paraId="11AB98D1" w14:textId="09268296" w:rsidR="00CB7852" w:rsidRPr="00D53761" w:rsidRDefault="00CB7852" w:rsidP="00CB7852">
            <w:pPr>
              <w:contextualSpacing/>
              <w:rPr>
                <w:rFonts w:ascii="Open Sans" w:hAnsi="Open Sans" w:cs="Open Sans"/>
                <w:sz w:val="20"/>
                <w:szCs w:val="20"/>
              </w:rPr>
            </w:pPr>
            <w:r>
              <w:t xml:space="preserve">2 – The vendor materials aligns content to appropriate careers and show a variety of opportunities at multiple exit points through the “Careers in Accounting” features (this feature highlights several accounting careers from partners of CPA firms to credit analyst).  Relevant certifications and credentials are discussed and explained to the student throughout the book through the Careers in Accounting Features and “Explore Accounting,” Accounting Certifications (p. 30).  The vendor materials discuss GAAP throughout the text and </w:t>
            </w:r>
            <w:proofErr w:type="spellStart"/>
            <w:r>
              <w:t>and</w:t>
            </w:r>
            <w:proofErr w:type="spellEnd"/>
            <w:r>
              <w:t xml:space="preserve"> the AICPA (p. 455).</w:t>
            </w:r>
          </w:p>
        </w:tc>
      </w:tr>
    </w:tbl>
    <w:p w14:paraId="11AB98D3" w14:textId="77777777" w:rsidR="00D53761" w:rsidRPr="00D53761" w:rsidRDefault="00D53761" w:rsidP="00D53761">
      <w:pPr>
        <w:spacing w:after="0" w:line="240" w:lineRule="auto"/>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11AB98D7" w14:textId="77777777" w:rsidTr="00D47996">
        <w:trPr>
          <w:trHeight w:val="350"/>
        </w:trPr>
        <w:tc>
          <w:tcPr>
            <w:tcW w:w="8730" w:type="dxa"/>
            <w:shd w:val="clear" w:color="auto" w:fill="F2F2F2" w:themeFill="background1" w:themeFillShade="F2"/>
            <w:vAlign w:val="center"/>
          </w:tcPr>
          <w:p w14:paraId="11AB98D4"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11AB98D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11AB98D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47996" w:rsidRPr="00D53761" w14:paraId="11AB98DB" w14:textId="77777777" w:rsidTr="00D47996">
        <w:trPr>
          <w:trHeight w:val="1664"/>
        </w:trPr>
        <w:tc>
          <w:tcPr>
            <w:tcW w:w="8730" w:type="dxa"/>
            <w:vAlign w:val="center"/>
          </w:tcPr>
          <w:p w14:paraId="11AB98D8" w14:textId="77777777" w:rsidR="00D47996" w:rsidRPr="00D53761" w:rsidRDefault="00D47996" w:rsidP="00D47996">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11AB98D9" w14:textId="699CD22D" w:rsidR="00D47996" w:rsidRPr="00D53761" w:rsidRDefault="00D47996" w:rsidP="00D47996">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11AB98DA" w14:textId="19D237A4" w:rsidR="00D47996" w:rsidRPr="00D53761" w:rsidRDefault="00D47996" w:rsidP="00D47996">
            <w:pPr>
              <w:contextualSpacing/>
              <w:rPr>
                <w:rFonts w:ascii="Open Sans" w:hAnsi="Open Sans" w:cs="Open Sans"/>
                <w:sz w:val="20"/>
                <w:szCs w:val="20"/>
              </w:rPr>
            </w:pPr>
            <w:r>
              <w:t xml:space="preserve">2 – Students have opportunities to practice together then extend student practice to support conceptual understanding and transfer understandings to new situations.  </w:t>
            </w:r>
          </w:p>
        </w:tc>
      </w:tr>
      <w:tr w:rsidR="00D47996" w:rsidRPr="00D53761" w14:paraId="11AB98DF" w14:textId="77777777" w:rsidTr="00D47996">
        <w:trPr>
          <w:trHeight w:val="1979"/>
        </w:trPr>
        <w:tc>
          <w:tcPr>
            <w:tcW w:w="8730" w:type="dxa"/>
            <w:vAlign w:val="center"/>
          </w:tcPr>
          <w:p w14:paraId="11AB98DC" w14:textId="77777777" w:rsidR="00D47996" w:rsidRPr="00D53761" w:rsidRDefault="00D47996" w:rsidP="00D47996">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11AB98DD" w14:textId="4037F73E" w:rsidR="00D47996" w:rsidRPr="00D53761" w:rsidRDefault="00D47996" w:rsidP="00D47996">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11AB98DE" w14:textId="30AD5889" w:rsidR="00D47996" w:rsidRPr="00D53761" w:rsidRDefault="00D47996" w:rsidP="00D47996">
            <w:pPr>
              <w:contextualSpacing/>
              <w:rPr>
                <w:rFonts w:ascii="Open Sans" w:hAnsi="Open Sans" w:cs="Open Sans"/>
                <w:sz w:val="20"/>
                <w:szCs w:val="20"/>
              </w:rPr>
            </w:pPr>
            <w:r>
              <w:t xml:space="preserve">2 – This is the second book within the Accounting course sequence.  </w:t>
            </w:r>
            <w:r w:rsidRPr="00D53761">
              <w:rPr>
                <w:rFonts w:ascii="Open Sans" w:hAnsi="Open Sans" w:cs="Open Sans"/>
                <w:sz w:val="20"/>
                <w:szCs w:val="20"/>
              </w:rPr>
              <w:t xml:space="preserve">Materials </w:t>
            </w:r>
            <w:r>
              <w:rPr>
                <w:rFonts w:ascii="Open Sans" w:hAnsi="Open Sans" w:cs="Open Sans"/>
                <w:sz w:val="20"/>
                <w:szCs w:val="20"/>
              </w:rPr>
              <w:t>clearly align</w:t>
            </w:r>
            <w:r w:rsidRPr="00D53761">
              <w:rPr>
                <w:rFonts w:ascii="Open Sans" w:hAnsi="Open Sans" w:cs="Open Sans"/>
                <w:sz w:val="20"/>
                <w:szCs w:val="20"/>
              </w:rPr>
              <w:t xml:space="preserve"> vertically with previous course</w:t>
            </w:r>
            <w:r>
              <w:rPr>
                <w:rFonts w:ascii="Open Sans" w:hAnsi="Open Sans" w:cs="Open Sans"/>
                <w:sz w:val="20"/>
                <w:szCs w:val="20"/>
              </w:rPr>
              <w:t xml:space="preserve"> materials</w:t>
            </w:r>
            <w:r w:rsidRPr="00D53761">
              <w:rPr>
                <w:rFonts w:ascii="Open Sans" w:hAnsi="Open Sans" w:cs="Open Sans"/>
                <w:sz w:val="20"/>
                <w:szCs w:val="20"/>
              </w:rPr>
              <w:t xml:space="preserve">. </w:t>
            </w:r>
          </w:p>
        </w:tc>
      </w:tr>
      <w:tr w:rsidR="00D47996" w:rsidRPr="00D53761" w14:paraId="11AB98E3" w14:textId="77777777" w:rsidTr="00D47996">
        <w:trPr>
          <w:trHeight w:val="1781"/>
        </w:trPr>
        <w:tc>
          <w:tcPr>
            <w:tcW w:w="8730" w:type="dxa"/>
            <w:vAlign w:val="center"/>
          </w:tcPr>
          <w:p w14:paraId="11AB98E0" w14:textId="77777777" w:rsidR="00D47996" w:rsidRPr="00D53761" w:rsidRDefault="00D47996" w:rsidP="00D47996">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11AB98E1" w14:textId="3E14D8C5" w:rsidR="00D47996" w:rsidRPr="00D53761" w:rsidRDefault="00D47996" w:rsidP="00D47996">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11AB98E2" w14:textId="052A3DF7" w:rsidR="00D47996" w:rsidRPr="00D53761" w:rsidRDefault="00D47996" w:rsidP="00D47996">
            <w:pPr>
              <w:contextualSpacing/>
              <w:rPr>
                <w:rFonts w:ascii="Open Sans" w:hAnsi="Open Sans" w:cs="Open Sans"/>
                <w:sz w:val="20"/>
                <w:szCs w:val="20"/>
              </w:rPr>
            </w:pPr>
            <w:r>
              <w:t xml:space="preserve">2 – This is the second book within the Accounting course sequence.  </w:t>
            </w:r>
            <w:r w:rsidRPr="00D53761">
              <w:rPr>
                <w:rFonts w:ascii="Open Sans" w:hAnsi="Open Sans" w:cs="Open Sans"/>
                <w:sz w:val="20"/>
                <w:szCs w:val="20"/>
              </w:rPr>
              <w:t xml:space="preserve">Materials </w:t>
            </w:r>
            <w:r>
              <w:rPr>
                <w:rFonts w:ascii="Open Sans" w:hAnsi="Open Sans" w:cs="Open Sans"/>
                <w:sz w:val="20"/>
                <w:szCs w:val="20"/>
              </w:rPr>
              <w:t>clearly align</w:t>
            </w:r>
            <w:r w:rsidRPr="00D53761">
              <w:rPr>
                <w:rFonts w:ascii="Open Sans" w:hAnsi="Open Sans" w:cs="Open Sans"/>
                <w:sz w:val="20"/>
                <w:szCs w:val="20"/>
              </w:rPr>
              <w:t xml:space="preserve"> vertically with previous course</w:t>
            </w:r>
            <w:r>
              <w:rPr>
                <w:rFonts w:ascii="Open Sans" w:hAnsi="Open Sans" w:cs="Open Sans"/>
                <w:sz w:val="20"/>
                <w:szCs w:val="20"/>
              </w:rPr>
              <w:t xml:space="preserve"> materials</w:t>
            </w:r>
            <w:r w:rsidRPr="00D53761">
              <w:rPr>
                <w:rFonts w:ascii="Open Sans" w:hAnsi="Open Sans" w:cs="Open Sans"/>
                <w:sz w:val="20"/>
                <w:szCs w:val="20"/>
              </w:rPr>
              <w:t>.</w:t>
            </w:r>
          </w:p>
        </w:tc>
      </w:tr>
    </w:tbl>
    <w:p w14:paraId="11AB98E4"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11AB98E8" w14:textId="77777777" w:rsidTr="00A70D29">
        <w:trPr>
          <w:trHeight w:val="395"/>
        </w:trPr>
        <w:tc>
          <w:tcPr>
            <w:tcW w:w="8730" w:type="dxa"/>
            <w:shd w:val="clear" w:color="auto" w:fill="F2F2F2" w:themeFill="background1" w:themeFillShade="F2"/>
            <w:vAlign w:val="center"/>
          </w:tcPr>
          <w:p w14:paraId="11AB98E5"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14:paraId="11AB98E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11AB98E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A70D29" w:rsidRPr="00D53761" w14:paraId="11AB98EC" w14:textId="77777777" w:rsidTr="00A70D29">
        <w:trPr>
          <w:trHeight w:val="1502"/>
        </w:trPr>
        <w:tc>
          <w:tcPr>
            <w:tcW w:w="8730" w:type="dxa"/>
            <w:vAlign w:val="center"/>
          </w:tcPr>
          <w:p w14:paraId="11AB98E9" w14:textId="77777777" w:rsidR="00A70D29" w:rsidRPr="00D53761" w:rsidRDefault="00A70D29" w:rsidP="00A70D29">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11AB98EA" w14:textId="40CCCFD7" w:rsidR="00A70D29" w:rsidRPr="00D53761" w:rsidRDefault="00A70D29" w:rsidP="00A70D29">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7A69D3BC" w14:textId="77777777" w:rsidR="00A70D29" w:rsidRDefault="00A70D29" w:rsidP="00A70D29">
            <w:r>
              <w:t xml:space="preserve">2 – </w:t>
            </w:r>
          </w:p>
          <w:p w14:paraId="11AB98EB" w14:textId="48ECCA0F" w:rsidR="00A70D29" w:rsidRPr="00D53761" w:rsidRDefault="00A70D29" w:rsidP="00A70D29">
            <w:pPr>
              <w:contextualSpacing/>
              <w:rPr>
                <w:rFonts w:ascii="Open Sans" w:hAnsi="Open Sans" w:cs="Open Sans"/>
                <w:sz w:val="20"/>
                <w:szCs w:val="20"/>
              </w:rPr>
            </w:pPr>
            <w:r>
              <w:t xml:space="preserve">Lesson plans and other instructor resources are included online.  The lesson plans are easy to follow and in a logical, sequential order.  Lesson plans also include helpful material such as reteaching ideas, extended learning, and differentiated instruction.  Other instructor resources include the solution files, instructor PowerPoints, and lesson plans for each chapter.  </w:t>
            </w:r>
          </w:p>
        </w:tc>
      </w:tr>
      <w:tr w:rsidR="00A70D29" w:rsidRPr="00D53761" w14:paraId="11AB98F0" w14:textId="77777777" w:rsidTr="00A70D29">
        <w:trPr>
          <w:trHeight w:val="1376"/>
        </w:trPr>
        <w:tc>
          <w:tcPr>
            <w:tcW w:w="8730" w:type="dxa"/>
            <w:vAlign w:val="center"/>
          </w:tcPr>
          <w:p w14:paraId="11AB98ED" w14:textId="77777777" w:rsidR="00A70D29" w:rsidRPr="00D53761" w:rsidRDefault="00A70D29" w:rsidP="00A70D29">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11AB98EE" w14:textId="0C4E2F85" w:rsidR="00A70D29" w:rsidRPr="00D53761" w:rsidRDefault="00A70D29" w:rsidP="00A70D29">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3F10778B" w14:textId="77777777" w:rsidR="00A70D29" w:rsidRDefault="00A70D29" w:rsidP="00A70D29">
            <w:r>
              <w:t>2</w:t>
            </w:r>
          </w:p>
          <w:p w14:paraId="11AB98EF" w14:textId="75C6DE05" w:rsidR="00A70D29" w:rsidRPr="00D53761" w:rsidRDefault="00A70D29" w:rsidP="00A70D29">
            <w:pPr>
              <w:contextualSpacing/>
              <w:rPr>
                <w:rFonts w:ascii="Open Sans" w:hAnsi="Open Sans" w:cs="Open Sans"/>
                <w:sz w:val="20"/>
                <w:szCs w:val="20"/>
              </w:rPr>
            </w:pPr>
            <w:r>
              <w:t xml:space="preserve">Teacher chapter lesson plans reference learning goals, materials needed, vocabulary, and follow a logical sequential order.  </w:t>
            </w:r>
          </w:p>
        </w:tc>
      </w:tr>
      <w:tr w:rsidR="00A70D29" w:rsidRPr="00D53761" w14:paraId="11AB98F4" w14:textId="77777777" w:rsidTr="00A70D29">
        <w:trPr>
          <w:trHeight w:val="1376"/>
        </w:trPr>
        <w:tc>
          <w:tcPr>
            <w:tcW w:w="8730" w:type="dxa"/>
            <w:vAlign w:val="center"/>
          </w:tcPr>
          <w:p w14:paraId="11AB98F1" w14:textId="77777777" w:rsidR="00A70D29" w:rsidRPr="00D53761" w:rsidRDefault="00A70D29" w:rsidP="00A70D29">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11AB98F2" w14:textId="2E81AE93" w:rsidR="00A70D29" w:rsidRPr="00D53761" w:rsidRDefault="00A70D29" w:rsidP="00A70D29">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D34E38">
              <w:rPr>
                <w:rFonts w:ascii="Open Sans" w:hAnsi="Open Sans" w:cs="Open Sans"/>
                <w:sz w:val="20"/>
                <w:szCs w:val="20"/>
                <w:highlight w:val="yellow"/>
              </w:rPr>
              <w:t>0</w:t>
            </w:r>
          </w:p>
        </w:tc>
        <w:tc>
          <w:tcPr>
            <w:tcW w:w="2988" w:type="dxa"/>
          </w:tcPr>
          <w:p w14:paraId="69404D71" w14:textId="77777777" w:rsidR="00A70D29" w:rsidRDefault="00A70D29" w:rsidP="00A70D29">
            <w:r>
              <w:t>0</w:t>
            </w:r>
          </w:p>
          <w:p w14:paraId="11AB98F3" w14:textId="62E7C9FB" w:rsidR="00A70D29" w:rsidRPr="00D53761" w:rsidRDefault="00A70D29" w:rsidP="00A70D29">
            <w:pPr>
              <w:contextualSpacing/>
              <w:rPr>
                <w:rFonts w:ascii="Open Sans" w:hAnsi="Open Sans" w:cs="Open Sans"/>
                <w:sz w:val="20"/>
                <w:szCs w:val="20"/>
              </w:rPr>
            </w:pPr>
            <w:r>
              <w:t>Additional resources for teacher independent study are not included; however, the textbook resources are quite comprehensive and it is doubtful that the teacher would need independent study.</w:t>
            </w:r>
          </w:p>
        </w:tc>
      </w:tr>
    </w:tbl>
    <w:p w14:paraId="11AB98F5"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11AB98F9" w14:textId="77777777" w:rsidTr="00C228F1">
        <w:trPr>
          <w:trHeight w:val="395"/>
        </w:trPr>
        <w:tc>
          <w:tcPr>
            <w:tcW w:w="8730" w:type="dxa"/>
            <w:shd w:val="clear" w:color="auto" w:fill="F2F2F2" w:themeFill="background1" w:themeFillShade="F2"/>
            <w:vAlign w:val="center"/>
          </w:tcPr>
          <w:p w14:paraId="11AB98F6"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14:paraId="11AB98F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11AB98F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C228F1" w:rsidRPr="00D53761" w14:paraId="11AB98FD" w14:textId="77777777" w:rsidTr="00C228F1">
        <w:trPr>
          <w:trHeight w:val="1502"/>
        </w:trPr>
        <w:tc>
          <w:tcPr>
            <w:tcW w:w="8730" w:type="dxa"/>
            <w:vAlign w:val="center"/>
          </w:tcPr>
          <w:p w14:paraId="11AB98FA" w14:textId="77777777" w:rsidR="00C228F1" w:rsidRPr="00D53761" w:rsidRDefault="00C228F1" w:rsidP="00C228F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11AB98FB" w14:textId="40130C27" w:rsidR="00C228F1" w:rsidRPr="00D53761" w:rsidRDefault="00C228F1" w:rsidP="00C228F1">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11AB98FC" w14:textId="76A13727" w:rsidR="00C228F1" w:rsidRPr="00D53761" w:rsidRDefault="00C228F1" w:rsidP="00C228F1">
            <w:pPr>
              <w:contextualSpacing/>
              <w:rPr>
                <w:rFonts w:ascii="Open Sans" w:hAnsi="Open Sans" w:cs="Open Sans"/>
                <w:sz w:val="20"/>
                <w:szCs w:val="20"/>
              </w:rPr>
            </w:pPr>
            <w:r>
              <w:t>2 – Textbook is available in print and online format</w:t>
            </w:r>
          </w:p>
        </w:tc>
      </w:tr>
      <w:tr w:rsidR="00C228F1" w:rsidRPr="00D53761" w14:paraId="11AB9901" w14:textId="77777777" w:rsidTr="00C228F1">
        <w:trPr>
          <w:trHeight w:val="1115"/>
        </w:trPr>
        <w:tc>
          <w:tcPr>
            <w:tcW w:w="8730" w:type="dxa"/>
            <w:vAlign w:val="center"/>
          </w:tcPr>
          <w:p w14:paraId="11AB98FE" w14:textId="77777777" w:rsidR="00C228F1" w:rsidRPr="00D53761" w:rsidRDefault="00C228F1" w:rsidP="00C228F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11AB98FF" w14:textId="35C60A56" w:rsidR="00C228F1" w:rsidRPr="00D53761" w:rsidRDefault="00C228F1" w:rsidP="00C228F1">
            <w:pPr>
              <w:contextualSpacing/>
              <w:jc w:val="center"/>
              <w:rPr>
                <w:rFonts w:ascii="Open Sans" w:hAnsi="Open Sans" w:cs="Open Sans"/>
                <w:sz w:val="20"/>
                <w:szCs w:val="20"/>
              </w:rPr>
            </w:pPr>
            <w:r w:rsidRPr="00D34E38">
              <w:rPr>
                <w:rFonts w:ascii="Open Sans" w:hAnsi="Open Sans" w:cs="Open Sans"/>
                <w:sz w:val="20"/>
                <w:szCs w:val="20"/>
                <w:highlight w:val="yellow"/>
              </w:rPr>
              <w:t xml:space="preserve">2 </w:t>
            </w:r>
            <w:r w:rsidRPr="00D53761">
              <w:rPr>
                <w:rFonts w:ascii="Open Sans" w:hAnsi="Open Sans" w:cs="Open Sans"/>
                <w:sz w:val="20"/>
                <w:szCs w:val="20"/>
              </w:rPr>
              <w:t xml:space="preserve">     1     0</w:t>
            </w:r>
          </w:p>
        </w:tc>
        <w:tc>
          <w:tcPr>
            <w:tcW w:w="2988" w:type="dxa"/>
          </w:tcPr>
          <w:p w14:paraId="11AB9900" w14:textId="21CDC5E3" w:rsidR="00C228F1" w:rsidRPr="00D53761" w:rsidRDefault="00C228F1" w:rsidP="00C228F1">
            <w:pPr>
              <w:contextualSpacing/>
              <w:rPr>
                <w:rFonts w:ascii="Open Sans" w:hAnsi="Open Sans" w:cs="Open Sans"/>
                <w:sz w:val="20"/>
                <w:szCs w:val="20"/>
              </w:rPr>
            </w:pPr>
            <w:r>
              <w:t>2 – Font is an appropriate size and graphics/margin information enhance the text</w:t>
            </w:r>
          </w:p>
        </w:tc>
      </w:tr>
      <w:tr w:rsidR="00C228F1" w:rsidRPr="00D53761" w14:paraId="11AB9905" w14:textId="77777777" w:rsidTr="00C228F1">
        <w:trPr>
          <w:trHeight w:val="1376"/>
        </w:trPr>
        <w:tc>
          <w:tcPr>
            <w:tcW w:w="8730" w:type="dxa"/>
            <w:vAlign w:val="center"/>
          </w:tcPr>
          <w:p w14:paraId="11AB9902" w14:textId="77777777" w:rsidR="00C228F1" w:rsidRPr="00D53761" w:rsidRDefault="00C228F1" w:rsidP="00C228F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11AB9903" w14:textId="09875ABD" w:rsidR="00C228F1" w:rsidRPr="00D53761" w:rsidRDefault="00C228F1" w:rsidP="00C228F1">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11AB9904" w14:textId="6E2D4C89" w:rsidR="00C228F1" w:rsidRPr="00D53761" w:rsidRDefault="00C228F1" w:rsidP="00C228F1">
            <w:pPr>
              <w:contextualSpacing/>
              <w:rPr>
                <w:rFonts w:ascii="Open Sans" w:hAnsi="Open Sans" w:cs="Open Sans"/>
                <w:sz w:val="20"/>
                <w:szCs w:val="20"/>
              </w:rPr>
            </w:pPr>
            <w:r>
              <w:t xml:space="preserve">2 – Students have opportunities to practice together then extend student practice to support conceptual understanding and transfer understandings to new situations.  Chapter activities include end-of-chapter “Application Problems,” “Mastery Problems,” and “Challenge Problems,” which challenge students to apply concepts to new understandings at differentiated ability levels.  Additional end-of-chapter problems such as “Auditing for Errors” allow students to transfer understandings to new situations.  </w:t>
            </w:r>
          </w:p>
        </w:tc>
      </w:tr>
      <w:tr w:rsidR="00C228F1" w:rsidRPr="00D53761" w14:paraId="11AB9909" w14:textId="77777777" w:rsidTr="00C228F1">
        <w:trPr>
          <w:trHeight w:val="1376"/>
        </w:trPr>
        <w:tc>
          <w:tcPr>
            <w:tcW w:w="8730" w:type="dxa"/>
            <w:vAlign w:val="center"/>
          </w:tcPr>
          <w:p w14:paraId="11AB9906" w14:textId="77777777" w:rsidR="00C228F1" w:rsidRPr="00D53761" w:rsidRDefault="00C228F1" w:rsidP="00C228F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11AB9907" w14:textId="28B0C1CE" w:rsidR="00C228F1" w:rsidRPr="00D53761" w:rsidRDefault="00C228F1" w:rsidP="00C228F1">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11AB9908" w14:textId="5ADE1104" w:rsidR="00C228F1" w:rsidRPr="00D53761" w:rsidRDefault="00C228F1" w:rsidP="00C228F1">
            <w:pPr>
              <w:contextualSpacing/>
              <w:rPr>
                <w:rFonts w:ascii="Open Sans" w:hAnsi="Open Sans" w:cs="Open Sans"/>
                <w:sz w:val="20"/>
                <w:szCs w:val="20"/>
              </w:rPr>
            </w:pPr>
            <w:r>
              <w:t>2 – Photos appear to celebrate diversity</w:t>
            </w:r>
          </w:p>
        </w:tc>
      </w:tr>
    </w:tbl>
    <w:p w14:paraId="11AB990A" w14:textId="77777777" w:rsidR="00D53761" w:rsidRPr="00D53761" w:rsidRDefault="00D53761" w:rsidP="00D53761">
      <w:pPr>
        <w:spacing w:after="0"/>
        <w:rPr>
          <w:rFonts w:ascii="Open Sans" w:hAnsi="Open Sans" w:cs="Open Sans"/>
          <w:sz w:val="20"/>
          <w:szCs w:val="20"/>
        </w:rPr>
      </w:pPr>
    </w:p>
    <w:p w14:paraId="11AB990B"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11AB990C" w14:textId="77777777" w:rsidR="00D53761" w:rsidRPr="00D53761" w:rsidRDefault="00D53761" w:rsidP="00D53761">
      <w:pPr>
        <w:spacing w:after="0"/>
        <w:rPr>
          <w:rFonts w:ascii="Open Sans" w:hAnsi="Open Sans" w:cs="Open Sans"/>
          <w:sz w:val="20"/>
          <w:szCs w:val="20"/>
        </w:rPr>
      </w:pPr>
    </w:p>
    <w:p w14:paraId="11AB990D" w14:textId="77777777" w:rsidR="00D53761" w:rsidRPr="00D53761" w:rsidRDefault="00D53761" w:rsidP="00D53761">
      <w:pPr>
        <w:spacing w:after="0"/>
        <w:rPr>
          <w:rFonts w:ascii="Open Sans" w:hAnsi="Open Sans" w:cs="Open Sans"/>
          <w:sz w:val="20"/>
          <w:szCs w:val="20"/>
        </w:rPr>
      </w:pPr>
    </w:p>
    <w:p w14:paraId="11AB990E" w14:textId="77777777" w:rsidR="00D53761" w:rsidRPr="00D53761" w:rsidRDefault="00D53761" w:rsidP="00D53761">
      <w:pPr>
        <w:spacing w:after="0"/>
        <w:rPr>
          <w:rFonts w:ascii="Open Sans" w:hAnsi="Open Sans" w:cs="Open Sans"/>
          <w:sz w:val="20"/>
          <w:szCs w:val="20"/>
        </w:rPr>
      </w:pPr>
    </w:p>
    <w:p w14:paraId="11AB990F" w14:textId="77777777" w:rsidR="00421523" w:rsidRPr="00911CDD" w:rsidRDefault="00421523" w:rsidP="00D53761">
      <w:pPr>
        <w:spacing w:after="0"/>
        <w:rPr>
          <w:rFonts w:ascii="Open Sans" w:hAnsi="Open Sans" w:cs="Open Sans"/>
          <w:sz w:val="20"/>
          <w:szCs w:val="20"/>
        </w:rPr>
      </w:pPr>
    </w:p>
    <w:p w14:paraId="11AB9910" w14:textId="77777777" w:rsidR="00421523" w:rsidRPr="00911CDD" w:rsidRDefault="00421523" w:rsidP="00D53761">
      <w:pPr>
        <w:spacing w:after="0"/>
        <w:rPr>
          <w:rFonts w:ascii="Open Sans" w:hAnsi="Open Sans" w:cs="Open Sans"/>
          <w:sz w:val="20"/>
          <w:szCs w:val="20"/>
        </w:rPr>
      </w:pPr>
    </w:p>
    <w:p w14:paraId="11AB9911"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11AB9912"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11AB9916" w14:textId="77777777" w:rsidTr="00D34E38">
        <w:trPr>
          <w:trHeight w:val="395"/>
        </w:trPr>
        <w:tc>
          <w:tcPr>
            <w:tcW w:w="8730" w:type="dxa"/>
            <w:shd w:val="clear" w:color="auto" w:fill="F2F2F2" w:themeFill="background1" w:themeFillShade="F2"/>
            <w:vAlign w:val="center"/>
          </w:tcPr>
          <w:p w14:paraId="11AB991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14:paraId="11AB991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11AB991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34E38" w:rsidRPr="00D53761" w14:paraId="11AB991A" w14:textId="77777777" w:rsidTr="00D34E38">
        <w:trPr>
          <w:trHeight w:val="1502"/>
        </w:trPr>
        <w:tc>
          <w:tcPr>
            <w:tcW w:w="8730" w:type="dxa"/>
            <w:vAlign w:val="center"/>
          </w:tcPr>
          <w:p w14:paraId="11AB9917" w14:textId="77777777" w:rsidR="00D34E38" w:rsidRPr="00D53761" w:rsidRDefault="00D34E38" w:rsidP="00D34E38">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11AB9918" w14:textId="2007B7B5" w:rsidR="00D34E38" w:rsidRPr="00D53761" w:rsidRDefault="00D34E38" w:rsidP="00D34E38">
            <w:pPr>
              <w:contextualSpacing/>
              <w:jc w:val="center"/>
              <w:rPr>
                <w:rFonts w:ascii="Open Sans" w:hAnsi="Open Sans" w:cs="Open Sans"/>
                <w:sz w:val="20"/>
                <w:szCs w:val="20"/>
              </w:rPr>
            </w:pPr>
            <w:r w:rsidRPr="00D34E38">
              <w:rPr>
                <w:rFonts w:ascii="Open Sans" w:hAnsi="Open Sans" w:cs="Open Sans"/>
                <w:sz w:val="20"/>
                <w:szCs w:val="20"/>
                <w:highlight w:val="yellow"/>
              </w:rPr>
              <w:t xml:space="preserve">2 </w:t>
            </w:r>
            <w:r w:rsidRPr="00D53761">
              <w:rPr>
                <w:rFonts w:ascii="Open Sans" w:hAnsi="Open Sans" w:cs="Open Sans"/>
                <w:sz w:val="20"/>
                <w:szCs w:val="20"/>
              </w:rPr>
              <w:t xml:space="preserve">     1     0</w:t>
            </w:r>
          </w:p>
        </w:tc>
        <w:tc>
          <w:tcPr>
            <w:tcW w:w="2988" w:type="dxa"/>
          </w:tcPr>
          <w:p w14:paraId="11AB9919" w14:textId="3AEBF3E8" w:rsidR="00D34E38" w:rsidRPr="00D53761" w:rsidRDefault="00D34E38" w:rsidP="00D34E38">
            <w:pPr>
              <w:contextualSpacing/>
              <w:rPr>
                <w:rFonts w:ascii="Open Sans" w:hAnsi="Open Sans" w:cs="Open Sans"/>
                <w:sz w:val="20"/>
                <w:szCs w:val="20"/>
              </w:rPr>
            </w:pPr>
            <w:r>
              <w:t xml:space="preserve">2 – Chapter section instructional material contains highlighted key terms and is followed by section reviews: “Audit your Understanding,” “Work together,” and “On Your Own” activities.  Chapter activities include end-of-chapter “Application Problems,” “Mastery Problems,” and “Challenge Problems,” which challenge students to apply concepts to new understandings at differentiated ability levels.  Additional end-of-chapter problems such as “Auditing for Errors” allow students to transfer understandings to new situations.  </w:t>
            </w:r>
          </w:p>
        </w:tc>
      </w:tr>
      <w:tr w:rsidR="00D34E38" w:rsidRPr="00D53761" w14:paraId="11AB991E" w14:textId="77777777" w:rsidTr="00D34E38">
        <w:trPr>
          <w:trHeight w:val="1115"/>
        </w:trPr>
        <w:tc>
          <w:tcPr>
            <w:tcW w:w="8730" w:type="dxa"/>
            <w:vAlign w:val="center"/>
          </w:tcPr>
          <w:p w14:paraId="11AB991B" w14:textId="77777777" w:rsidR="00D34E38" w:rsidRPr="00D53761" w:rsidRDefault="00D34E38" w:rsidP="00D34E38">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11AB991C" w14:textId="631F533F" w:rsidR="00D34E38" w:rsidRPr="00D53761" w:rsidRDefault="00D34E38" w:rsidP="00D34E38">
            <w:pPr>
              <w:contextualSpacing/>
              <w:jc w:val="center"/>
              <w:rPr>
                <w:rFonts w:ascii="Open Sans" w:hAnsi="Open Sans" w:cs="Open Sans"/>
                <w:sz w:val="20"/>
                <w:szCs w:val="20"/>
              </w:rPr>
            </w:pPr>
            <w:r w:rsidRPr="00D34E38">
              <w:rPr>
                <w:rFonts w:ascii="Open Sans" w:hAnsi="Open Sans" w:cs="Open Sans"/>
                <w:sz w:val="20"/>
                <w:szCs w:val="20"/>
                <w:highlight w:val="yellow"/>
              </w:rPr>
              <w:t xml:space="preserve">2 </w:t>
            </w:r>
            <w:r w:rsidRPr="00D53761">
              <w:rPr>
                <w:rFonts w:ascii="Open Sans" w:hAnsi="Open Sans" w:cs="Open Sans"/>
                <w:sz w:val="20"/>
                <w:szCs w:val="20"/>
              </w:rPr>
              <w:t xml:space="preserve">     1     0</w:t>
            </w:r>
          </w:p>
        </w:tc>
        <w:tc>
          <w:tcPr>
            <w:tcW w:w="2988" w:type="dxa"/>
          </w:tcPr>
          <w:p w14:paraId="11AB991D" w14:textId="08F8D491" w:rsidR="00D34E38" w:rsidRPr="00D53761" w:rsidRDefault="00D34E38" w:rsidP="00D34E38">
            <w:pPr>
              <w:contextualSpacing/>
              <w:rPr>
                <w:rFonts w:ascii="Open Sans" w:hAnsi="Open Sans" w:cs="Open Sans"/>
                <w:sz w:val="20"/>
                <w:szCs w:val="20"/>
              </w:rPr>
            </w:pPr>
            <w:r>
              <w:t>2 – “Work Together” activities throughout the chapters give students opportunities to practice together.  “On Your Own” and end of chapter “application problems” allow independent student practice/</w:t>
            </w:r>
          </w:p>
        </w:tc>
      </w:tr>
      <w:tr w:rsidR="00D34E38" w:rsidRPr="00D53761" w14:paraId="11AB9922" w14:textId="77777777" w:rsidTr="00D34E38">
        <w:trPr>
          <w:trHeight w:val="1376"/>
        </w:trPr>
        <w:tc>
          <w:tcPr>
            <w:tcW w:w="8730" w:type="dxa"/>
            <w:vAlign w:val="center"/>
          </w:tcPr>
          <w:p w14:paraId="11AB991F" w14:textId="77777777" w:rsidR="00D34E38" w:rsidRPr="00D53761" w:rsidRDefault="00D34E38" w:rsidP="00D34E38">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11AB9920" w14:textId="43C99671" w:rsidR="00D34E38" w:rsidRPr="00D53761" w:rsidRDefault="00D34E38" w:rsidP="00D34E38">
            <w:pPr>
              <w:contextualSpacing/>
              <w:jc w:val="center"/>
              <w:rPr>
                <w:rFonts w:ascii="Open Sans" w:hAnsi="Open Sans" w:cs="Open Sans"/>
                <w:sz w:val="20"/>
                <w:szCs w:val="20"/>
              </w:rPr>
            </w:pPr>
            <w:r w:rsidRPr="00D34E3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11AB9921" w14:textId="4CFF6484" w:rsidR="00D34E38" w:rsidRPr="00D53761" w:rsidRDefault="00D34E38" w:rsidP="00D34E38">
            <w:pPr>
              <w:contextualSpacing/>
              <w:rPr>
                <w:rFonts w:ascii="Open Sans" w:hAnsi="Open Sans" w:cs="Open Sans"/>
                <w:sz w:val="20"/>
                <w:szCs w:val="20"/>
              </w:rPr>
            </w:pPr>
            <w:r>
              <w:t>2 – The sheer multitude of assessments allow the teacher to select assessments to meet the needs of diverse learners.</w:t>
            </w:r>
          </w:p>
        </w:tc>
      </w:tr>
    </w:tbl>
    <w:p w14:paraId="11AB9923"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11AB9927" w14:textId="77777777" w:rsidTr="004E6690">
        <w:trPr>
          <w:trHeight w:val="395"/>
        </w:trPr>
        <w:tc>
          <w:tcPr>
            <w:tcW w:w="13158" w:type="dxa"/>
            <w:shd w:val="clear" w:color="auto" w:fill="F2F2F2" w:themeFill="background1" w:themeFillShade="F2"/>
          </w:tcPr>
          <w:p w14:paraId="11AB9924"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11AB9925" w14:textId="77777777" w:rsidR="00D53761" w:rsidRPr="00D53761" w:rsidRDefault="00D53761" w:rsidP="00D53761">
            <w:pPr>
              <w:rPr>
                <w:rFonts w:ascii="Open Sans" w:hAnsi="Open Sans" w:cs="Open Sans"/>
                <w:b/>
                <w:sz w:val="20"/>
                <w:szCs w:val="20"/>
              </w:rPr>
            </w:pPr>
          </w:p>
          <w:p w14:paraId="11AB9926"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11AB992A" w14:textId="77777777" w:rsidTr="004E6690">
        <w:trPr>
          <w:trHeight w:val="395"/>
        </w:trPr>
        <w:tc>
          <w:tcPr>
            <w:tcW w:w="8730" w:type="dxa"/>
            <w:shd w:val="thinReverseDiagStripe" w:color="D9D9D9" w:themeColor="background1" w:themeShade="D9" w:fill="auto"/>
            <w:vAlign w:val="center"/>
          </w:tcPr>
          <w:p w14:paraId="11AB9928"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11AB992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11AB992D" w14:textId="77777777" w:rsidTr="004E6690">
        <w:trPr>
          <w:trHeight w:val="1259"/>
        </w:trPr>
        <w:tc>
          <w:tcPr>
            <w:tcW w:w="8730" w:type="dxa"/>
            <w:shd w:val="thinReverseDiagStripe" w:color="D9D9D9" w:themeColor="background1" w:themeShade="D9" w:fill="auto"/>
            <w:vAlign w:val="center"/>
          </w:tcPr>
          <w:p w14:paraId="11AB992B"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11AB992C"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11AB9930" w14:textId="77777777" w:rsidTr="004E6690">
        <w:trPr>
          <w:trHeight w:val="1115"/>
        </w:trPr>
        <w:tc>
          <w:tcPr>
            <w:tcW w:w="8730" w:type="dxa"/>
            <w:shd w:val="thinReverseDiagStripe" w:color="D9D9D9" w:themeColor="background1" w:themeShade="D9" w:fill="auto"/>
            <w:vAlign w:val="center"/>
          </w:tcPr>
          <w:p w14:paraId="11AB992E"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11AB992F"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11AB9934" w14:textId="77777777" w:rsidTr="004E6690">
        <w:trPr>
          <w:trHeight w:val="395"/>
        </w:trPr>
        <w:tc>
          <w:tcPr>
            <w:tcW w:w="8730" w:type="dxa"/>
            <w:shd w:val="clear" w:color="auto" w:fill="F2F2F2" w:themeFill="background1" w:themeFillShade="F2"/>
            <w:vAlign w:val="center"/>
          </w:tcPr>
          <w:p w14:paraId="11AB9931" w14:textId="77777777" w:rsidR="0078544F" w:rsidRDefault="0078544F" w:rsidP="00D53761">
            <w:pPr>
              <w:rPr>
                <w:rFonts w:ascii="Open Sans" w:eastAsia="Times New Roman" w:hAnsi="Open Sans" w:cs="Open Sans"/>
                <w:b/>
                <w:sz w:val="20"/>
                <w:szCs w:val="20"/>
              </w:rPr>
            </w:pPr>
          </w:p>
          <w:p w14:paraId="11AB9932"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11AB993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11AB9937" w14:textId="77777777" w:rsidTr="004E6690">
        <w:trPr>
          <w:trHeight w:val="1259"/>
        </w:trPr>
        <w:tc>
          <w:tcPr>
            <w:tcW w:w="8730" w:type="dxa"/>
            <w:vAlign w:val="center"/>
          </w:tcPr>
          <w:p w14:paraId="11AB9935" w14:textId="77777777" w:rsidR="00D53761" w:rsidRPr="00D53761" w:rsidRDefault="00D53761" w:rsidP="00D53761">
            <w:pPr>
              <w:rPr>
                <w:rFonts w:ascii="Open Sans" w:hAnsi="Open Sans" w:cs="Open Sans"/>
                <w:sz w:val="20"/>
                <w:szCs w:val="20"/>
              </w:rPr>
            </w:pPr>
          </w:p>
        </w:tc>
        <w:tc>
          <w:tcPr>
            <w:tcW w:w="4428" w:type="dxa"/>
            <w:vAlign w:val="center"/>
          </w:tcPr>
          <w:p w14:paraId="11AB9936" w14:textId="77777777" w:rsidR="00D53761" w:rsidRPr="00D53761" w:rsidRDefault="00D53761" w:rsidP="00D53761">
            <w:pPr>
              <w:contextualSpacing/>
              <w:jc w:val="center"/>
              <w:rPr>
                <w:rFonts w:ascii="Open Sans" w:hAnsi="Open Sans" w:cs="Open Sans"/>
                <w:i/>
                <w:sz w:val="20"/>
                <w:szCs w:val="20"/>
              </w:rPr>
            </w:pPr>
          </w:p>
        </w:tc>
      </w:tr>
      <w:tr w:rsidR="00D53761" w:rsidRPr="00D53761" w14:paraId="11AB993A" w14:textId="77777777" w:rsidTr="004E6690">
        <w:trPr>
          <w:trHeight w:val="1115"/>
        </w:trPr>
        <w:tc>
          <w:tcPr>
            <w:tcW w:w="8730" w:type="dxa"/>
            <w:vAlign w:val="center"/>
          </w:tcPr>
          <w:p w14:paraId="11AB9938" w14:textId="77777777" w:rsidR="00D53761" w:rsidRPr="00D53761" w:rsidRDefault="00D53761" w:rsidP="00D53761">
            <w:pPr>
              <w:rPr>
                <w:rFonts w:ascii="Open Sans" w:hAnsi="Open Sans" w:cs="Open Sans"/>
                <w:sz w:val="20"/>
                <w:szCs w:val="20"/>
              </w:rPr>
            </w:pPr>
          </w:p>
        </w:tc>
        <w:tc>
          <w:tcPr>
            <w:tcW w:w="4428" w:type="dxa"/>
            <w:vAlign w:val="center"/>
          </w:tcPr>
          <w:p w14:paraId="11AB9939" w14:textId="77777777" w:rsidR="00D53761" w:rsidRPr="00D53761" w:rsidRDefault="00D53761" w:rsidP="00D53761">
            <w:pPr>
              <w:contextualSpacing/>
              <w:jc w:val="center"/>
              <w:rPr>
                <w:rFonts w:ascii="Open Sans" w:hAnsi="Open Sans" w:cs="Open Sans"/>
                <w:sz w:val="20"/>
                <w:szCs w:val="20"/>
              </w:rPr>
            </w:pPr>
          </w:p>
        </w:tc>
      </w:tr>
    </w:tbl>
    <w:p w14:paraId="11AB993B"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312A61"/>
    <w:multiLevelType w:val="hybridMultilevel"/>
    <w:tmpl w:val="149E46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65417"/>
    <w:multiLevelType w:val="hybridMultilevel"/>
    <w:tmpl w:val="542694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F2158F"/>
    <w:multiLevelType w:val="hybridMultilevel"/>
    <w:tmpl w:val="6778E7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4"/>
  </w:num>
  <w:num w:numId="2">
    <w:abstractNumId w:val="3"/>
  </w:num>
  <w:num w:numId="3">
    <w:abstractNumId w:val="12"/>
  </w:num>
  <w:num w:numId="4">
    <w:abstractNumId w:val="4"/>
  </w:num>
  <w:num w:numId="5">
    <w:abstractNumId w:val="1"/>
  </w:num>
  <w:num w:numId="6">
    <w:abstractNumId w:val="15"/>
  </w:num>
  <w:num w:numId="7">
    <w:abstractNumId w:val="9"/>
  </w:num>
  <w:num w:numId="8">
    <w:abstractNumId w:val="16"/>
  </w:num>
  <w:num w:numId="9">
    <w:abstractNumId w:val="17"/>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3"/>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228D"/>
    <w:rsid w:val="000663D5"/>
    <w:rsid w:val="00072127"/>
    <w:rsid w:val="000845EB"/>
    <w:rsid w:val="000927D9"/>
    <w:rsid w:val="000B29A2"/>
    <w:rsid w:val="000B5E40"/>
    <w:rsid w:val="000D43F5"/>
    <w:rsid w:val="000E3170"/>
    <w:rsid w:val="00115038"/>
    <w:rsid w:val="0011573F"/>
    <w:rsid w:val="00124855"/>
    <w:rsid w:val="001514F7"/>
    <w:rsid w:val="001602D8"/>
    <w:rsid w:val="001A04D6"/>
    <w:rsid w:val="001A0833"/>
    <w:rsid w:val="001A4FF2"/>
    <w:rsid w:val="001B02DE"/>
    <w:rsid w:val="001B5E52"/>
    <w:rsid w:val="001C7662"/>
    <w:rsid w:val="00216606"/>
    <w:rsid w:val="0022371D"/>
    <w:rsid w:val="00237515"/>
    <w:rsid w:val="002D0902"/>
    <w:rsid w:val="0035512F"/>
    <w:rsid w:val="003965B7"/>
    <w:rsid w:val="004079F5"/>
    <w:rsid w:val="00415672"/>
    <w:rsid w:val="00421523"/>
    <w:rsid w:val="0043492C"/>
    <w:rsid w:val="00464154"/>
    <w:rsid w:val="00465233"/>
    <w:rsid w:val="00473800"/>
    <w:rsid w:val="004E3C98"/>
    <w:rsid w:val="004E6690"/>
    <w:rsid w:val="005D7F02"/>
    <w:rsid w:val="005E4594"/>
    <w:rsid w:val="006240A2"/>
    <w:rsid w:val="00642569"/>
    <w:rsid w:val="00643919"/>
    <w:rsid w:val="00665349"/>
    <w:rsid w:val="006A113B"/>
    <w:rsid w:val="006A1A1A"/>
    <w:rsid w:val="006B2D51"/>
    <w:rsid w:val="006D0B83"/>
    <w:rsid w:val="006D23A5"/>
    <w:rsid w:val="006E539D"/>
    <w:rsid w:val="006F3C74"/>
    <w:rsid w:val="007125FD"/>
    <w:rsid w:val="00730420"/>
    <w:rsid w:val="007728F3"/>
    <w:rsid w:val="0078544F"/>
    <w:rsid w:val="00786A16"/>
    <w:rsid w:val="0079761C"/>
    <w:rsid w:val="007C21F4"/>
    <w:rsid w:val="007C5D9F"/>
    <w:rsid w:val="007D38D4"/>
    <w:rsid w:val="007F7AFB"/>
    <w:rsid w:val="00807BFB"/>
    <w:rsid w:val="00871B0B"/>
    <w:rsid w:val="008B526F"/>
    <w:rsid w:val="008C4C6B"/>
    <w:rsid w:val="008C71E0"/>
    <w:rsid w:val="008C7DB3"/>
    <w:rsid w:val="008F0203"/>
    <w:rsid w:val="00911CDD"/>
    <w:rsid w:val="00981326"/>
    <w:rsid w:val="009E30A6"/>
    <w:rsid w:val="00A70D29"/>
    <w:rsid w:val="00AB118A"/>
    <w:rsid w:val="00AB444A"/>
    <w:rsid w:val="00AC69E4"/>
    <w:rsid w:val="00B01F99"/>
    <w:rsid w:val="00B31E0B"/>
    <w:rsid w:val="00B564D1"/>
    <w:rsid w:val="00B8163C"/>
    <w:rsid w:val="00B931F4"/>
    <w:rsid w:val="00B9770E"/>
    <w:rsid w:val="00BD417F"/>
    <w:rsid w:val="00C033C2"/>
    <w:rsid w:val="00C228F1"/>
    <w:rsid w:val="00C25F66"/>
    <w:rsid w:val="00C3750F"/>
    <w:rsid w:val="00C3773A"/>
    <w:rsid w:val="00C4526C"/>
    <w:rsid w:val="00CA0DDC"/>
    <w:rsid w:val="00CA620E"/>
    <w:rsid w:val="00CA6924"/>
    <w:rsid w:val="00CB7852"/>
    <w:rsid w:val="00CC1E15"/>
    <w:rsid w:val="00CE0E9C"/>
    <w:rsid w:val="00CF1BC0"/>
    <w:rsid w:val="00D11A14"/>
    <w:rsid w:val="00D34E38"/>
    <w:rsid w:val="00D47996"/>
    <w:rsid w:val="00D53761"/>
    <w:rsid w:val="00D73280"/>
    <w:rsid w:val="00D768EB"/>
    <w:rsid w:val="00DA6DDD"/>
    <w:rsid w:val="00DE024E"/>
    <w:rsid w:val="00DF7998"/>
    <w:rsid w:val="00E45E61"/>
    <w:rsid w:val="00E512A3"/>
    <w:rsid w:val="00E70F53"/>
    <w:rsid w:val="00EB1010"/>
    <w:rsid w:val="00ED3FD4"/>
    <w:rsid w:val="00EF5194"/>
    <w:rsid w:val="00EF7899"/>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B968C"/>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8BD34-61E6-4463-B8AD-B74C7D9FC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4657</Words>
  <Characters>26550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2018-05-15T00:50:00Z</cp:lastPrinted>
  <dcterms:created xsi:type="dcterms:W3CDTF">2018-07-02T18:32:00Z</dcterms:created>
  <dcterms:modified xsi:type="dcterms:W3CDTF">2018-07-02T18:32:00Z</dcterms:modified>
</cp:coreProperties>
</file>