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F5194">
      <w:pPr>
        <w:spacing w:after="0" w:line="240" w:lineRule="auto"/>
        <w:jc w:val="center"/>
        <w:rPr>
          <w:b/>
          <w:sz w:val="28"/>
        </w:rPr>
      </w:pPr>
      <w:r>
        <w:rPr>
          <w:b/>
          <w:sz w:val="28"/>
        </w:rPr>
        <w:t xml:space="preserve"> BUSINESS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062DBA">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062DBA">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062DBA">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A33BC4">
              <w:rPr>
                <w:rFonts w:ascii="Open Sans" w:hAnsi="Open Sans" w:cs="Open Sans"/>
                <w:sz w:val="18"/>
                <w:szCs w:val="18"/>
              </w:rPr>
              <w:t xml:space="preserve"> </w:t>
            </w:r>
            <w:r w:rsidR="00A33BC4" w:rsidRPr="00A33BC4">
              <w:rPr>
                <w:rFonts w:ascii="Open Sans" w:hAnsi="Open Sans" w:cs="Open Sans"/>
                <w:b/>
                <w:sz w:val="18"/>
                <w:szCs w:val="18"/>
                <w:u w:val="single"/>
              </w:rPr>
              <w:t>Essentials of Business Communication/9781337711487</w:t>
            </w:r>
            <w:r w:rsidR="00981326" w:rsidRPr="00D53761">
              <w:rPr>
                <w:rFonts w:ascii="Open Sans" w:hAnsi="Open Sans" w:cs="Open Sans"/>
                <w:sz w:val="18"/>
                <w:szCs w:val="18"/>
              </w:rPr>
              <w:t xml:space="preserve"> Level(s)/Course(s): </w:t>
            </w:r>
            <w:r w:rsidR="00A33BC4" w:rsidRPr="00A33BC4">
              <w:rPr>
                <w:rFonts w:ascii="Open Sans" w:hAnsi="Open Sans" w:cs="Open Sans"/>
                <w:b/>
                <w:sz w:val="18"/>
                <w:szCs w:val="18"/>
                <w:u w:val="single"/>
              </w:rPr>
              <w:t>9-12/5888</w:t>
            </w:r>
          </w:p>
          <w:p w:rsidR="00981326" w:rsidRPr="00D53761" w:rsidRDefault="00981326" w:rsidP="00981326">
            <w:pPr>
              <w:rPr>
                <w:rFonts w:ascii="Open Sans" w:hAnsi="Open Sans" w:cs="Open Sans"/>
                <w:sz w:val="18"/>
                <w:szCs w:val="18"/>
              </w:rPr>
            </w:pPr>
          </w:p>
          <w:p w:rsidR="00981326" w:rsidRPr="00D53761" w:rsidRDefault="00A33BC4" w:rsidP="00981326">
            <w:pPr>
              <w:rPr>
                <w:rFonts w:ascii="Open Sans" w:hAnsi="Open Sans" w:cs="Open Sans"/>
                <w:sz w:val="18"/>
                <w:szCs w:val="18"/>
              </w:rPr>
            </w:pPr>
            <w:r>
              <w:rPr>
                <w:rFonts w:ascii="Open Sans" w:hAnsi="Open Sans" w:cs="Open Sans"/>
                <w:sz w:val="18"/>
                <w:szCs w:val="18"/>
              </w:rPr>
              <w:t xml:space="preserve">Publisher: </w:t>
            </w:r>
            <w:r w:rsidRPr="00A33BC4">
              <w:rPr>
                <w:rFonts w:ascii="Open Sans" w:hAnsi="Open Sans" w:cs="Open Sans"/>
                <w:b/>
                <w:sz w:val="18"/>
                <w:szCs w:val="18"/>
                <w:u w:val="single"/>
              </w:rPr>
              <w:t>Cengage</w:t>
            </w:r>
            <w:r w:rsidR="00981326" w:rsidRPr="00A33BC4">
              <w:rPr>
                <w:rFonts w:ascii="Open Sans" w:hAnsi="Open Sans" w:cs="Open Sans"/>
                <w:b/>
                <w:sz w:val="18"/>
                <w:szCs w:val="18"/>
              </w:rPr>
              <w:t xml:space="preserve"> </w:t>
            </w:r>
            <w:r w:rsidRPr="00A33BC4">
              <w:rPr>
                <w:rFonts w:ascii="Open Sans" w:hAnsi="Open Sans" w:cs="Open Sans"/>
                <w:b/>
                <w:sz w:val="18"/>
                <w:szCs w:val="18"/>
              </w:rPr>
              <w:t xml:space="preserve">      </w:t>
            </w:r>
            <w:r w:rsidR="005D7F02">
              <w:rPr>
                <w:rFonts w:ascii="Open Sans" w:hAnsi="Open Sans" w:cs="Open Sans"/>
                <w:sz w:val="18"/>
                <w:szCs w:val="18"/>
              </w:rPr>
              <w:t xml:space="preserve">Copyright </w:t>
            </w:r>
            <w:r>
              <w:rPr>
                <w:rFonts w:ascii="Open Sans" w:hAnsi="Open Sans" w:cs="Open Sans"/>
                <w:sz w:val="18"/>
                <w:szCs w:val="18"/>
              </w:rPr>
              <w:t xml:space="preserve">Year: </w:t>
            </w:r>
            <w:r w:rsidRPr="00A33BC4">
              <w:rPr>
                <w:rFonts w:ascii="Open Sans" w:hAnsi="Open Sans" w:cs="Open Sans"/>
                <w:b/>
                <w:sz w:val="18"/>
                <w:szCs w:val="18"/>
                <w:u w:val="single"/>
              </w:rPr>
              <w:t>2019</w:t>
            </w:r>
            <w:r>
              <w:rPr>
                <w:rFonts w:ascii="Open Sans" w:hAnsi="Open Sans" w:cs="Open Sans"/>
                <w:b/>
                <w:sz w:val="18"/>
                <w:szCs w:val="18"/>
                <w:u w:val="single"/>
              </w:rPr>
              <w:t>, 2016 Cengage Learning, Inc.</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F0203" w:rsidP="001A0833">
            <w:r>
              <w:t xml:space="preserve">Business Management program of study focuses on the development of the planning, organizing, leading, and controlling functions required for the production and delivery of goods and services. This applied knowledge course addresses the management role of utilizing the businesses’ resources of employees, equipment, and capital to achieve an organization’s goals. Students will participate in a continuing project throughout the course in which, individually or in teams, they will present recommendations to improve an existing business. Local business partnerships are encouraged to provide resources for faculty and students. Upon completion of this course, proficient students will be able to complete a full review of an existing business and offer recommendations for improvement as would a management consultant. </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062DBA">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255410">
                    <w:rPr>
                      <w:rFonts w:ascii="Open Sans" w:hAnsi="Open Sans" w:cs="Open Sans"/>
                      <w:b/>
                      <w:sz w:val="20"/>
                      <w:szCs w:val="20"/>
                    </w:rPr>
                    <w:t>*</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062DBA">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255410">
                    <w:rPr>
                      <w:rFonts w:ascii="Open Sans" w:hAnsi="Open Sans" w:cs="Open Sans"/>
                      <w:b/>
                      <w:sz w:val="20"/>
                      <w:szCs w:val="20"/>
                    </w:rPr>
                    <w:t>*</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62DBA">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255410">
                    <w:rPr>
                      <w:rFonts w:ascii="Open Sans" w:hAnsi="Open Sans" w:cs="Open Sans"/>
                      <w:b/>
                      <w:sz w:val="20"/>
                      <w:szCs w:val="20"/>
                    </w:rPr>
                    <w:t>*</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062DBA">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55410">
                    <w:rPr>
                      <w:rFonts w:ascii="Open Sans" w:hAnsi="Open Sans" w:cs="Open Sans"/>
                      <w:b/>
                      <w:sz w:val="20"/>
                      <w:szCs w:val="20"/>
                    </w:rPr>
                    <w:t>*</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255410">
              <w:rPr>
                <w:rFonts w:ascii="Open Sans" w:hAnsi="Open Sans" w:cs="Open Sans"/>
                <w:b/>
                <w:sz w:val="20"/>
                <w:szCs w:val="20"/>
              </w:rPr>
              <w:t>*</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255410"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standards in Business Communications.</w:t>
            </w:r>
            <w:r>
              <w:rPr>
                <w:rFonts w:ascii="Open Sans" w:hAnsi="Open Sans" w:cs="Open Sans"/>
                <w:sz w:val="20"/>
                <w:szCs w:val="20"/>
              </w:rPr>
              <w:t xml:space="preserve">  Textbook allows students to be introduced to standards for mastery.  </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 xml:space="preserve">Conduct a job market search for one of the careers selected in the preceding standard by browsing print and online job boards and vacancy announcements. Consider factors such as local industry needs, projected annual openings, and prospects for growth when researching </w:t>
            </w:r>
            <w:r>
              <w:lastRenderedPageBreak/>
              <w:t>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 xml:space="preserve">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w:t>
            </w:r>
            <w:r>
              <w:lastRenderedPageBreak/>
              <w:t>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62DBA">
        <w:tc>
          <w:tcPr>
            <w:tcW w:w="12950" w:type="dxa"/>
            <w:gridSpan w:val="4"/>
            <w:shd w:val="clear" w:color="auto" w:fill="F2F2F2" w:themeFill="background1" w:themeFillShade="F2"/>
          </w:tcPr>
          <w:p w:rsidR="00F30CEA" w:rsidRPr="00F30CEA" w:rsidRDefault="00F30CEA" w:rsidP="00062DB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81AF4" w:rsidTr="00CF1BC0">
        <w:tc>
          <w:tcPr>
            <w:tcW w:w="7555"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62DB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81AF4"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E30B2E" w:rsidP="00062DBA">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F30CEA" w:rsidRDefault="00E30B2E" w:rsidP="00062DBA">
            <w:pPr>
              <w:rPr>
                <w:rFonts w:ascii="Open Sans" w:eastAsia="Times New Roman" w:hAnsi="Open Sans" w:cs="Open Sans"/>
                <w:sz w:val="20"/>
                <w:szCs w:val="20"/>
              </w:rPr>
            </w:pPr>
            <w:r>
              <w:rPr>
                <w:rFonts w:ascii="Open Sans" w:eastAsia="Times New Roman" w:hAnsi="Open Sans" w:cs="Open Sans"/>
                <w:sz w:val="20"/>
                <w:szCs w:val="20"/>
              </w:rPr>
              <w:t>Cannot find reference to copyrighted materials, authenticity, privacy, and proper use of technology resources</w:t>
            </w:r>
          </w:p>
        </w:tc>
      </w:tr>
      <w:tr w:rsidR="00581AF4"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E30B2E"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581AF4"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Differentiate between verbal and nonverbal communications when interacting with peers, subordinates, superiors, and customers. List specific techniques for effective communications and evaluate how different cultures and generations attach different meanings to various gestures, intonations, and other communications techniques.</w:t>
            </w:r>
          </w:p>
        </w:tc>
        <w:tc>
          <w:tcPr>
            <w:tcW w:w="630" w:type="dxa"/>
          </w:tcPr>
          <w:p w:rsidR="00F30CEA" w:rsidRDefault="00E30B2E"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581AF4"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tension, and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E30B2E"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581AF4"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C31C57"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581AF4"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C31C57"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C31C57" w:rsidP="00062DBA">
            <w:pPr>
              <w:rPr>
                <w:rFonts w:ascii="Open Sans" w:eastAsia="Times New Roman" w:hAnsi="Open Sans" w:cs="Open Sans"/>
                <w:sz w:val="20"/>
                <w:szCs w:val="20"/>
              </w:rPr>
            </w:pPr>
            <w:r>
              <w:rPr>
                <w:rFonts w:ascii="Open Sans" w:eastAsia="Times New Roman" w:hAnsi="Open Sans" w:cs="Open Sans"/>
                <w:sz w:val="20"/>
                <w:szCs w:val="20"/>
              </w:rPr>
              <w:t xml:space="preserve">EXCELLENT!  </w:t>
            </w:r>
          </w:p>
        </w:tc>
      </w:tr>
      <w:tr w:rsidR="00581AF4"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C31C57"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C31C57"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C31C57"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C31C57" w:rsidP="00062DBA">
            <w:pPr>
              <w:rPr>
                <w:rFonts w:ascii="Open Sans" w:eastAsia="Times New Roman" w:hAnsi="Open Sans" w:cs="Open Sans"/>
                <w:sz w:val="20"/>
                <w:szCs w:val="20"/>
              </w:rPr>
            </w:pPr>
            <w:r>
              <w:rPr>
                <w:rFonts w:ascii="Open Sans" w:eastAsia="Times New Roman" w:hAnsi="Open Sans" w:cs="Open Sans"/>
                <w:sz w:val="20"/>
                <w:szCs w:val="20"/>
              </w:rPr>
              <w:t>Social media-blogging, podcast, linkedin, instant messaging, facebook</w:t>
            </w:r>
          </w:p>
        </w:tc>
      </w:tr>
      <w:tr w:rsidR="00581AF4" w:rsidTr="00CF1BC0">
        <w:tc>
          <w:tcPr>
            <w:tcW w:w="7555" w:type="dxa"/>
          </w:tcPr>
          <w:p w:rsidR="008C7DB3" w:rsidRDefault="008C7DB3" w:rsidP="008C7DB3">
            <w:pPr>
              <w:pStyle w:val="ListParagraph"/>
              <w:numPr>
                <w:ilvl w:val="0"/>
                <w:numId w:val="14"/>
              </w:numPr>
            </w:pPr>
            <w:r>
              <w:t xml:space="preserve">Locate a website used by a business to sell a product or service. Evaluate the website’s design, content, text, images, layout, and color. Discern the site’s effectiveness and ease of navigation, including the </w:t>
            </w:r>
            <w:r>
              <w:lastRenderedPageBreak/>
              <w:t>use of hyperlinks. Using persuasive writing, produce a critique addressing the pros and cons of the site, and offer recommended revisions.</w:t>
            </w:r>
          </w:p>
        </w:tc>
        <w:tc>
          <w:tcPr>
            <w:tcW w:w="630" w:type="dxa"/>
          </w:tcPr>
          <w:p w:rsidR="008C7DB3" w:rsidRDefault="00C31C57" w:rsidP="00062DBA">
            <w:pPr>
              <w:rPr>
                <w:rFonts w:ascii="Open Sans" w:eastAsia="Times New Roman" w:hAnsi="Open Sans" w:cs="Open Sans"/>
                <w:sz w:val="20"/>
                <w:szCs w:val="20"/>
              </w:rPr>
            </w:pPr>
            <w:r>
              <w:rPr>
                <w:rFonts w:ascii="Open Sans" w:eastAsia="Times New Roman" w:hAnsi="Open Sans" w:cs="Open Sans"/>
                <w:sz w:val="20"/>
                <w:szCs w:val="20"/>
              </w:rPr>
              <w:lastRenderedPageBreak/>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 or desktop-publishing software b. Planning layouts based on estimation and calculations to achieve accepted balance of text, art, photos, and white space c. Applying consistent style standards, including fonts, margins, layout, color scheme, and image and text formats d. Inserting and formatting merged graphic elements, such as charts, photos and artwork, and text embellishments e. Incorporating editing and revision markings to incorporate desired changes by the author/editor</w:t>
            </w:r>
          </w:p>
        </w:tc>
        <w:tc>
          <w:tcPr>
            <w:tcW w:w="630"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062DBA">
            <w:pPr>
              <w:rPr>
                <w:rFonts w:ascii="Open Sans" w:eastAsia="Times New Roman" w:hAnsi="Open Sans" w:cs="Open Sans"/>
                <w:sz w:val="20"/>
                <w:szCs w:val="20"/>
              </w:rPr>
            </w:pPr>
          </w:p>
        </w:tc>
        <w:tc>
          <w:tcPr>
            <w:tcW w:w="630"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062DBA">
            <w:pPr>
              <w:rPr>
                <w:rFonts w:ascii="Open Sans" w:eastAsia="Times New Roman" w:hAnsi="Open Sans" w:cs="Open Sans"/>
                <w:sz w:val="20"/>
                <w:szCs w:val="20"/>
              </w:rPr>
            </w:pPr>
          </w:p>
        </w:tc>
        <w:tc>
          <w:tcPr>
            <w:tcW w:w="630"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062DBA">
            <w:pPr>
              <w:rPr>
                <w:rFonts w:ascii="Open Sans" w:eastAsia="Times New Roman" w:hAnsi="Open Sans" w:cs="Open Sans"/>
                <w:sz w:val="20"/>
                <w:szCs w:val="20"/>
              </w:rPr>
            </w:pP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624A15" w:rsidP="00062DBA">
            <w:pPr>
              <w:rPr>
                <w:rFonts w:ascii="Open Sans" w:eastAsia="Times New Roman" w:hAnsi="Open Sans" w:cs="Open Sans"/>
                <w:sz w:val="20"/>
                <w:szCs w:val="20"/>
              </w:rPr>
            </w:pPr>
            <w:r>
              <w:rPr>
                <w:rFonts w:ascii="Open Sans" w:eastAsia="Times New Roman" w:hAnsi="Open Sans" w:cs="Open Sans"/>
                <w:sz w:val="20"/>
                <w:szCs w:val="20"/>
              </w:rPr>
              <w:t>PAGE 61</w:t>
            </w:r>
          </w:p>
        </w:tc>
      </w:tr>
      <w:tr w:rsidR="00581AF4"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062DBA">
            <w:pPr>
              <w:rPr>
                <w:rFonts w:ascii="Open Sans" w:eastAsia="Times New Roman" w:hAnsi="Open Sans" w:cs="Open Sans"/>
                <w:sz w:val="20"/>
                <w:szCs w:val="20"/>
              </w:rPr>
            </w:pPr>
          </w:p>
        </w:tc>
        <w:tc>
          <w:tcPr>
            <w:tcW w:w="630" w:type="dxa"/>
          </w:tcPr>
          <w:p w:rsidR="008C7DB3" w:rsidRDefault="001D0C99" w:rsidP="00062DBA">
            <w:pPr>
              <w:rPr>
                <w:rFonts w:ascii="Open Sans" w:eastAsia="Times New Roman" w:hAnsi="Open Sans" w:cs="Open Sans"/>
                <w:sz w:val="20"/>
                <w:szCs w:val="20"/>
              </w:rPr>
            </w:pPr>
            <w:r>
              <w:rPr>
                <w:rFonts w:ascii="Open Sans" w:eastAsia="Times New Roman" w:hAnsi="Open Sans" w:cs="Open Sans"/>
                <w:sz w:val="20"/>
                <w:szCs w:val="20"/>
              </w:rPr>
              <w:t>NO</w:t>
            </w:r>
          </w:p>
        </w:tc>
        <w:tc>
          <w:tcPr>
            <w:tcW w:w="4135" w:type="dxa"/>
          </w:tcPr>
          <w:p w:rsidR="008C7DB3" w:rsidRDefault="001D0C99" w:rsidP="00062DBA">
            <w:pPr>
              <w:rPr>
                <w:rFonts w:ascii="Open Sans" w:eastAsia="Times New Roman" w:hAnsi="Open Sans" w:cs="Open Sans"/>
                <w:sz w:val="20"/>
                <w:szCs w:val="20"/>
              </w:rPr>
            </w:pPr>
            <w:r>
              <w:rPr>
                <w:rFonts w:ascii="Open Sans" w:eastAsia="Times New Roman" w:hAnsi="Open Sans" w:cs="Open Sans"/>
                <w:sz w:val="20"/>
                <w:szCs w:val="20"/>
              </w:rPr>
              <w:t>B, C, and D would require additional equipment to actually have hands on experience to complete and master the standard</w:t>
            </w:r>
          </w:p>
        </w:tc>
      </w:tr>
      <w:tr w:rsidR="00581AF4"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1D0C99"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Prepare an electronic portfolio a. Including work products demonstrating career preparation skills, using an assortment of media (text, photos, video, hyper-linked pages). b. Including a professionally formatted résumé and other supporting documents such as cover letter and application. c. Packaged on a suitable media (e.g., CD, DVD, memory stick, web site).</w:t>
            </w:r>
          </w:p>
        </w:tc>
        <w:tc>
          <w:tcPr>
            <w:tcW w:w="630" w:type="dxa"/>
          </w:tcPr>
          <w:p w:rsidR="008C7DB3" w:rsidRDefault="001D0C99"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r w:rsidR="00581AF4"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1D0C99" w:rsidP="00062DBA">
            <w:pPr>
              <w:rPr>
                <w:rFonts w:ascii="Open Sans" w:eastAsia="Times New Roman" w:hAnsi="Open Sans" w:cs="Open Sans"/>
                <w:sz w:val="20"/>
                <w:szCs w:val="20"/>
              </w:rPr>
            </w:pPr>
            <w:r>
              <w:rPr>
                <w:rFonts w:ascii="Open Sans" w:eastAsia="Times New Roman" w:hAnsi="Open Sans" w:cs="Open Sans"/>
                <w:sz w:val="20"/>
                <w:szCs w:val="20"/>
              </w:rPr>
              <w:t>YES</w:t>
            </w: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1D0C99" w:rsidP="00062DBA">
            <w:pPr>
              <w:rPr>
                <w:rFonts w:ascii="Open Sans" w:eastAsia="Times New Roman" w:hAnsi="Open Sans" w:cs="Open Sans"/>
                <w:sz w:val="20"/>
                <w:szCs w:val="20"/>
              </w:rPr>
            </w:pPr>
            <w:r>
              <w:rPr>
                <w:rFonts w:ascii="Open Sans" w:eastAsia="Times New Roman" w:hAnsi="Open Sans" w:cs="Open Sans"/>
                <w:sz w:val="20"/>
                <w:szCs w:val="20"/>
              </w:rPr>
              <w:t>Students will gain the knowledge through the text to complete and master this standard-internet access is needed to conduct a job search</w:t>
            </w:r>
          </w:p>
        </w:tc>
      </w:tr>
      <w:tr w:rsidR="00581AF4"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062DBA">
            <w:pPr>
              <w:rPr>
                <w:rFonts w:ascii="Open Sans" w:eastAsia="Times New Roman" w:hAnsi="Open Sans" w:cs="Open Sans"/>
                <w:sz w:val="20"/>
                <w:szCs w:val="20"/>
              </w:rPr>
            </w:pPr>
          </w:p>
        </w:tc>
        <w:tc>
          <w:tcPr>
            <w:tcW w:w="630" w:type="dxa"/>
          </w:tcPr>
          <w:p w:rsidR="008C7DB3" w:rsidRDefault="008C7DB3" w:rsidP="00062DBA">
            <w:pPr>
              <w:rPr>
                <w:rFonts w:ascii="Open Sans" w:eastAsia="Times New Roman" w:hAnsi="Open Sans" w:cs="Open Sans"/>
                <w:sz w:val="20"/>
                <w:szCs w:val="20"/>
              </w:rPr>
            </w:pPr>
          </w:p>
        </w:tc>
        <w:tc>
          <w:tcPr>
            <w:tcW w:w="4135" w:type="dxa"/>
          </w:tcPr>
          <w:p w:rsidR="008C7DB3" w:rsidRDefault="008C7DB3" w:rsidP="00062DBA">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lastRenderedPageBreak/>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62DBA">
        <w:tc>
          <w:tcPr>
            <w:tcW w:w="12950" w:type="dxa"/>
            <w:gridSpan w:val="4"/>
            <w:shd w:val="clear" w:color="auto" w:fill="F2F2F2" w:themeFill="background1" w:themeFillShade="F2"/>
          </w:tcPr>
          <w:p w:rsidR="00F30CEA" w:rsidRPr="00F30CEA" w:rsidRDefault="00F30CEA" w:rsidP="00062DB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62DB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Summarize characteristics of, and distinguish between, different management theories (such as scientific management, Total Quality Management (TQM), Ouchi’s Theory Z, Six Sigma, 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Design, write, modify and evaluate a business plan for the identified existing business. The business plan should include, but may not be limited to, detailed descriptions of products and/or services offered, risk analysis, short and long term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w:t>
            </w:r>
            <w:r>
              <w:lastRenderedPageBreak/>
              <w:t>significant weakness(es), or area(s) of opportunity, to address throughout the duration of the course.</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Make a claim about the current target market of the selected business, developing and supporting the claim and counterclaim(s) with data and 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Create a new, or recommend updates to an existing, employee manual for the selected business by summarizing information gleaned from personal interviews, observations, print articles, and internet searches </w:t>
            </w:r>
            <w:r>
              <w:lastRenderedPageBreak/>
              <w:t>about the 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062DBA">
            <w:pPr>
              <w:rPr>
                <w:rFonts w:ascii="Open Sans" w:eastAsia="Times New Roman" w:hAnsi="Open Sans" w:cs="Open Sans"/>
                <w:sz w:val="20"/>
                <w:szCs w:val="20"/>
              </w:rPr>
            </w:pPr>
          </w:p>
        </w:tc>
        <w:tc>
          <w:tcPr>
            <w:tcW w:w="630" w:type="dxa"/>
          </w:tcPr>
          <w:p w:rsidR="001B5E52" w:rsidRDefault="001B5E52" w:rsidP="00062DBA">
            <w:pPr>
              <w:rPr>
                <w:rFonts w:ascii="Open Sans" w:eastAsia="Times New Roman" w:hAnsi="Open Sans" w:cs="Open Sans"/>
                <w:sz w:val="20"/>
                <w:szCs w:val="20"/>
              </w:rPr>
            </w:pPr>
          </w:p>
        </w:tc>
        <w:tc>
          <w:tcPr>
            <w:tcW w:w="4135" w:type="dxa"/>
          </w:tcPr>
          <w:p w:rsidR="001B5E52" w:rsidRDefault="001B5E52" w:rsidP="00062DBA">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062DBA">
            <w:pPr>
              <w:rPr>
                <w:rFonts w:ascii="Open Sans" w:eastAsia="Times New Roman" w:hAnsi="Open Sans" w:cs="Open Sans"/>
                <w:sz w:val="20"/>
                <w:szCs w:val="20"/>
              </w:rPr>
            </w:pPr>
          </w:p>
        </w:tc>
        <w:tc>
          <w:tcPr>
            <w:tcW w:w="630" w:type="dxa"/>
          </w:tcPr>
          <w:p w:rsidR="00CF1BC0" w:rsidRDefault="00CF1BC0" w:rsidP="00062DBA">
            <w:pPr>
              <w:rPr>
                <w:rFonts w:ascii="Open Sans" w:eastAsia="Times New Roman" w:hAnsi="Open Sans" w:cs="Open Sans"/>
                <w:sz w:val="20"/>
                <w:szCs w:val="20"/>
              </w:rPr>
            </w:pPr>
          </w:p>
        </w:tc>
        <w:tc>
          <w:tcPr>
            <w:tcW w:w="4135" w:type="dxa"/>
          </w:tcPr>
          <w:p w:rsidR="00CF1BC0" w:rsidRDefault="00CF1BC0" w:rsidP="00062DBA">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062DBA">
            <w:pPr>
              <w:rPr>
                <w:rFonts w:ascii="Open Sans" w:eastAsia="Times New Roman" w:hAnsi="Open Sans" w:cs="Open Sans"/>
                <w:sz w:val="20"/>
                <w:szCs w:val="20"/>
              </w:rPr>
            </w:pPr>
          </w:p>
        </w:tc>
        <w:tc>
          <w:tcPr>
            <w:tcW w:w="630" w:type="dxa"/>
          </w:tcPr>
          <w:p w:rsidR="00CF1BC0" w:rsidRDefault="00CF1BC0" w:rsidP="00062DBA">
            <w:pPr>
              <w:rPr>
                <w:rFonts w:ascii="Open Sans" w:eastAsia="Times New Roman" w:hAnsi="Open Sans" w:cs="Open Sans"/>
                <w:sz w:val="20"/>
                <w:szCs w:val="20"/>
              </w:rPr>
            </w:pPr>
          </w:p>
        </w:tc>
        <w:tc>
          <w:tcPr>
            <w:tcW w:w="4135" w:type="dxa"/>
          </w:tcPr>
          <w:p w:rsidR="00CF1BC0" w:rsidRDefault="00CF1BC0" w:rsidP="00062DBA">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 (6159)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062DBA">
        <w:tc>
          <w:tcPr>
            <w:tcW w:w="12950" w:type="dxa"/>
            <w:gridSpan w:val="4"/>
            <w:shd w:val="clear" w:color="auto" w:fill="F2F2F2" w:themeFill="background1" w:themeFillShade="F2"/>
          </w:tcPr>
          <w:p w:rsidR="00F30CEA" w:rsidRPr="00F30CEA" w:rsidRDefault="00F30CEA" w:rsidP="00062DBA">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062DB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062DB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 xml:space="preserve">A student will have a Personalized Learning Plan that identifies their long-term goals, demonstrates how the Work-Based Learning (WBL) experience aligns with their elective focus and/or high school plan of </w:t>
            </w:r>
            <w:r>
              <w:lastRenderedPageBreak/>
              <w:t>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determine the viability of original business ideas. Compile findings and future directions in a professional print or online document.</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5"/>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rsidR="00F30CEA" w:rsidRDefault="00F30CEA" w:rsidP="00062DBA">
            <w:pPr>
              <w:rPr>
                <w:rFonts w:ascii="Open Sans" w:eastAsia="Times New Roman" w:hAnsi="Open Sans" w:cs="Open Sans"/>
                <w:sz w:val="20"/>
                <w:szCs w:val="20"/>
              </w:rPr>
            </w:pPr>
          </w:p>
        </w:tc>
        <w:tc>
          <w:tcPr>
            <w:tcW w:w="630" w:type="dxa"/>
          </w:tcPr>
          <w:p w:rsidR="00F30CEA" w:rsidRDefault="00F30CEA" w:rsidP="00062DBA">
            <w:pPr>
              <w:rPr>
                <w:rFonts w:ascii="Open Sans" w:eastAsia="Times New Roman" w:hAnsi="Open Sans" w:cs="Open Sans"/>
                <w:sz w:val="20"/>
                <w:szCs w:val="20"/>
              </w:rPr>
            </w:pPr>
          </w:p>
        </w:tc>
        <w:tc>
          <w:tcPr>
            <w:tcW w:w="4135" w:type="dxa"/>
          </w:tcPr>
          <w:p w:rsidR="00F30CEA" w:rsidRDefault="00F30CEA" w:rsidP="00062DB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 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lastRenderedPageBreak/>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8C7DB3">
            <w:pPr>
              <w:pStyle w:val="ListParagraph"/>
              <w:numPr>
                <w:ilvl w:val="0"/>
                <w:numId w:val="15"/>
              </w:numPr>
            </w:pPr>
            <w:r>
              <w:t>Critique the business plan of another team or classmate, annotating the plan with recommendations and suggested edits. Cite specific examples in the text to support recommendations.</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Other potential issues include copyright infringement, customer privacy and data usage concerns, and safety of employees and consumers.</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r w:rsidR="00C4526C" w:rsidTr="00CF1BC0">
        <w:tc>
          <w:tcPr>
            <w:tcW w:w="7555" w:type="dxa"/>
          </w:tcPr>
          <w:p w:rsidR="00C4526C" w:rsidRDefault="00C4526C" w:rsidP="00C4526C">
            <w:pPr>
              <w:pStyle w:val="ListParagraph"/>
              <w:numPr>
                <w:ilvl w:val="0"/>
                <w:numId w:val="15"/>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C4526C" w:rsidRDefault="00C4526C" w:rsidP="00062DBA">
            <w:pPr>
              <w:rPr>
                <w:rFonts w:ascii="Open Sans" w:eastAsia="Times New Roman" w:hAnsi="Open Sans" w:cs="Open Sans"/>
                <w:sz w:val="20"/>
                <w:szCs w:val="20"/>
              </w:rPr>
            </w:pPr>
          </w:p>
        </w:tc>
        <w:tc>
          <w:tcPr>
            <w:tcW w:w="630" w:type="dxa"/>
          </w:tcPr>
          <w:p w:rsidR="00C4526C" w:rsidRDefault="00C4526C" w:rsidP="00062DBA">
            <w:pPr>
              <w:rPr>
                <w:rFonts w:ascii="Open Sans" w:eastAsia="Times New Roman" w:hAnsi="Open Sans" w:cs="Open Sans"/>
                <w:sz w:val="20"/>
                <w:szCs w:val="20"/>
              </w:rPr>
            </w:pPr>
          </w:p>
        </w:tc>
        <w:tc>
          <w:tcPr>
            <w:tcW w:w="4135" w:type="dxa"/>
          </w:tcPr>
          <w:p w:rsidR="00C4526C" w:rsidRDefault="00C4526C" w:rsidP="00062DBA">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062DBA">
              <w:trPr>
                <w:trHeight w:val="1304"/>
              </w:trPr>
              <w:tc>
                <w:tcPr>
                  <w:tcW w:w="10210" w:type="dxa"/>
                  <w:shd w:val="clear" w:color="auto" w:fill="F2F2F2" w:themeFill="background1" w:themeFillShade="F2"/>
                  <w:vAlign w:val="center"/>
                </w:tcPr>
                <w:p w:rsidR="00981326" w:rsidRPr="00D53761" w:rsidRDefault="00981326" w:rsidP="001078BD">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62DBA">
              <w:trPr>
                <w:trHeight w:val="1250"/>
              </w:trPr>
              <w:tc>
                <w:tcPr>
                  <w:tcW w:w="10210" w:type="dxa"/>
                  <w:shd w:val="clear" w:color="auto" w:fill="F2F2F2" w:themeFill="background1" w:themeFillShade="F2"/>
                  <w:vAlign w:val="center"/>
                </w:tcPr>
                <w:p w:rsidR="00981326" w:rsidRPr="00D53761" w:rsidRDefault="00981326" w:rsidP="001078B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62DBA">
              <w:trPr>
                <w:trHeight w:val="1250"/>
              </w:trPr>
              <w:tc>
                <w:tcPr>
                  <w:tcW w:w="10210" w:type="dxa"/>
                  <w:shd w:val="clear" w:color="auto" w:fill="F2F2F2" w:themeFill="background1" w:themeFillShade="F2"/>
                  <w:vAlign w:val="center"/>
                </w:tcPr>
                <w:p w:rsidR="00981326" w:rsidRPr="00D53761" w:rsidRDefault="00981326" w:rsidP="001078B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62DBA">
              <w:trPr>
                <w:trHeight w:val="1160"/>
              </w:trPr>
              <w:tc>
                <w:tcPr>
                  <w:tcW w:w="10210" w:type="dxa"/>
                  <w:shd w:val="clear" w:color="auto" w:fill="F2F2F2" w:themeFill="background1" w:themeFillShade="F2"/>
                  <w:vAlign w:val="center"/>
                </w:tcPr>
                <w:p w:rsidR="00981326" w:rsidRPr="00D53761" w:rsidRDefault="00981326" w:rsidP="001078B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062DBA">
              <w:trPr>
                <w:trHeight w:val="1349"/>
              </w:trPr>
              <w:tc>
                <w:tcPr>
                  <w:tcW w:w="10210" w:type="dxa"/>
                  <w:shd w:val="clear" w:color="auto" w:fill="F2F2F2" w:themeFill="background1" w:themeFillShade="F2"/>
                  <w:vAlign w:val="center"/>
                </w:tcPr>
                <w:p w:rsidR="00981326" w:rsidRPr="00D53761" w:rsidRDefault="00981326" w:rsidP="001078BD">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078B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FC4305" w:rsidRPr="00D53761" w:rsidRDefault="00FC4305" w:rsidP="00981326">
            <w:pPr>
              <w:rPr>
                <w:rFonts w:ascii="Open Sans" w:hAnsi="Open Sans" w:cs="Open Sans"/>
                <w:b/>
                <w:sz w:val="20"/>
                <w:szCs w:val="20"/>
              </w:rPr>
            </w:pPr>
            <w:r>
              <w:rPr>
                <w:rFonts w:ascii="Open Sans" w:hAnsi="Open Sans" w:cs="Open Sans"/>
                <w:b/>
                <w:sz w:val="20"/>
                <w:szCs w:val="20"/>
              </w:rPr>
              <w:t>All five indicators of Rigor are aligned to the standards.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062DBA">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062DBA">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062DBA">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062DBA">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062DBA">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062DBA">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062DBA">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062DBA">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062DBA">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lastRenderedPageBreak/>
              <w:t>Justification/Notes</w:t>
            </w:r>
          </w:p>
          <w:p w:rsidR="00FC4305" w:rsidRPr="00D53761" w:rsidRDefault="00FC4305" w:rsidP="00D53761">
            <w:pPr>
              <w:keepNext/>
              <w:outlineLvl w:val="4"/>
              <w:rPr>
                <w:rFonts w:ascii="Open Sans" w:hAnsi="Open Sans" w:cs="Open Sans"/>
                <w:b/>
                <w:sz w:val="20"/>
                <w:szCs w:val="20"/>
              </w:rPr>
            </w:pPr>
            <w:r>
              <w:rPr>
                <w:rFonts w:ascii="Open Sans" w:hAnsi="Open Sans" w:cs="Open Sans"/>
                <w:b/>
                <w:sz w:val="20"/>
                <w:szCs w:val="20"/>
              </w:rPr>
              <w:t>All four indicators of Postsecondary and Career Readiness are aligned.</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062DBA">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062DBA">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062DBA">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062DBA">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62DBA">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62DBA">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062DBA">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62DBA">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62DBA">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062DBA" w:rsidP="00D53761">
            <w:pPr>
              <w:contextualSpacing/>
              <w:rPr>
                <w:rFonts w:ascii="Open Sans" w:hAnsi="Open Sans" w:cs="Open Sans"/>
                <w:sz w:val="20"/>
                <w:szCs w:val="20"/>
              </w:rPr>
            </w:pPr>
            <w:r>
              <w:rPr>
                <w:rFonts w:ascii="Open Sans" w:hAnsi="Open Sans" w:cs="Open Sans"/>
                <w:sz w:val="20"/>
                <w:szCs w:val="20"/>
              </w:rPr>
              <w:t>THIS IS THE 2</w:t>
            </w:r>
            <w:r w:rsidRPr="00062DBA">
              <w:rPr>
                <w:rFonts w:ascii="Open Sans" w:hAnsi="Open Sans" w:cs="Open Sans"/>
                <w:sz w:val="20"/>
                <w:szCs w:val="20"/>
                <w:vertAlign w:val="superscript"/>
              </w:rPr>
              <w:t>ND</w:t>
            </w:r>
            <w:r>
              <w:rPr>
                <w:rFonts w:ascii="Open Sans" w:hAnsi="Open Sans" w:cs="Open Sans"/>
                <w:sz w:val="20"/>
                <w:szCs w:val="20"/>
              </w:rPr>
              <w:t xml:space="preserve"> COURSE</w:t>
            </w:r>
          </w:p>
        </w:tc>
      </w:tr>
      <w:tr w:rsidR="00D53761" w:rsidRPr="00D53761" w:rsidTr="00062DBA">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62DBA">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62DBA">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62DBA">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62DBA">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062DBA" w:rsidP="00062DBA">
            <w:pPr>
              <w:contextualSpacing/>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062DBA" w:rsidP="00D53761">
            <w:pPr>
              <w:contextualSpacing/>
              <w:rPr>
                <w:rFonts w:ascii="Open Sans" w:hAnsi="Open Sans" w:cs="Open Sans"/>
                <w:sz w:val="20"/>
                <w:szCs w:val="20"/>
              </w:rPr>
            </w:pPr>
            <w:r>
              <w:rPr>
                <w:rFonts w:ascii="Open Sans" w:hAnsi="Open Sans" w:cs="Open Sans"/>
                <w:sz w:val="20"/>
                <w:szCs w:val="20"/>
              </w:rPr>
              <w:t>Teachers would have to align material for students who are below grade level and those who are advanced</w:t>
            </w:r>
          </w:p>
        </w:tc>
      </w:tr>
      <w:tr w:rsidR="00D53761" w:rsidRPr="00D53761" w:rsidTr="00062DBA">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062DBA">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062DBA">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062DBA"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FC4305" w:rsidP="00D53761">
            <w:pPr>
              <w:contextualSpacing/>
              <w:jc w:val="center"/>
              <w:rPr>
                <w:rFonts w:ascii="Open Sans" w:hAnsi="Open Sans" w:cs="Open Sans"/>
                <w:sz w:val="20"/>
                <w:szCs w:val="20"/>
              </w:rPr>
            </w:pPr>
            <w:r>
              <w:rPr>
                <w:rFonts w:ascii="Open Sans" w:hAnsi="Open Sans" w:cs="Open Sans"/>
                <w:sz w:val="20"/>
                <w:szCs w:val="20"/>
              </w:rPr>
              <w:t xml:space="preserve"> 2</w:t>
            </w:r>
            <w:r w:rsidR="00DC458A">
              <w:rPr>
                <w:rFonts w:ascii="Open Sans" w:hAnsi="Open Sans" w:cs="Open Sans"/>
                <w:sz w:val="20"/>
                <w:szCs w:val="20"/>
              </w:rPr>
              <w:t xml:space="preserve">     </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062DBA">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C458A" w:rsidP="00D53761">
            <w:pPr>
              <w:contextualSpacing/>
              <w:jc w:val="center"/>
              <w:rPr>
                <w:rFonts w:ascii="Open Sans" w:hAnsi="Open Sans" w:cs="Open Sans"/>
                <w:sz w:val="20"/>
                <w:szCs w:val="20"/>
              </w:rPr>
            </w:pPr>
            <w:r>
              <w:rPr>
                <w:rFonts w:ascii="Open Sans" w:hAnsi="Open Sans" w:cs="Open Sans"/>
                <w:sz w:val="20"/>
                <w:szCs w:val="20"/>
              </w:rPr>
              <w:t xml:space="preserve"> 1      </w:t>
            </w:r>
          </w:p>
        </w:tc>
        <w:tc>
          <w:tcPr>
            <w:tcW w:w="2988" w:type="dxa"/>
          </w:tcPr>
          <w:p w:rsidR="00D53761" w:rsidRPr="00D53761" w:rsidRDefault="00FC4305" w:rsidP="00D53761">
            <w:pPr>
              <w:contextualSpacing/>
              <w:rPr>
                <w:rFonts w:ascii="Open Sans" w:hAnsi="Open Sans" w:cs="Open Sans"/>
                <w:sz w:val="20"/>
                <w:szCs w:val="20"/>
              </w:rPr>
            </w:pPr>
            <w:r>
              <w:rPr>
                <w:rFonts w:ascii="Open Sans" w:hAnsi="Open Sans" w:cs="Open Sans"/>
                <w:sz w:val="20"/>
                <w:szCs w:val="20"/>
              </w:rPr>
              <w:t>With additional teacher materials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062DBA">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062DBA">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062DBA">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062DBA">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062DBA">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062DBA">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062DBA">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62DBA"/>
    <w:rsid w:val="00072127"/>
    <w:rsid w:val="000845EB"/>
    <w:rsid w:val="000E3170"/>
    <w:rsid w:val="001078BD"/>
    <w:rsid w:val="00115038"/>
    <w:rsid w:val="0011573F"/>
    <w:rsid w:val="00124855"/>
    <w:rsid w:val="001602D8"/>
    <w:rsid w:val="001A0833"/>
    <w:rsid w:val="001B02DE"/>
    <w:rsid w:val="001B5E52"/>
    <w:rsid w:val="001D0C99"/>
    <w:rsid w:val="00255410"/>
    <w:rsid w:val="002B64E6"/>
    <w:rsid w:val="002D0902"/>
    <w:rsid w:val="003965B7"/>
    <w:rsid w:val="004079F5"/>
    <w:rsid w:val="00415672"/>
    <w:rsid w:val="00421523"/>
    <w:rsid w:val="0043492C"/>
    <w:rsid w:val="00465233"/>
    <w:rsid w:val="00473800"/>
    <w:rsid w:val="00581AF4"/>
    <w:rsid w:val="005D7F02"/>
    <w:rsid w:val="006240A2"/>
    <w:rsid w:val="00624A15"/>
    <w:rsid w:val="00642569"/>
    <w:rsid w:val="006A1A1A"/>
    <w:rsid w:val="006B2D51"/>
    <w:rsid w:val="006D23A5"/>
    <w:rsid w:val="006F3C74"/>
    <w:rsid w:val="007125FD"/>
    <w:rsid w:val="00730420"/>
    <w:rsid w:val="007728F3"/>
    <w:rsid w:val="0078544F"/>
    <w:rsid w:val="007C21F4"/>
    <w:rsid w:val="00871B0B"/>
    <w:rsid w:val="008B526F"/>
    <w:rsid w:val="008C4C6B"/>
    <w:rsid w:val="008C71E0"/>
    <w:rsid w:val="008C7DB3"/>
    <w:rsid w:val="008F0203"/>
    <w:rsid w:val="00911CDD"/>
    <w:rsid w:val="00981326"/>
    <w:rsid w:val="00A33BC4"/>
    <w:rsid w:val="00AB444A"/>
    <w:rsid w:val="00B31E0B"/>
    <w:rsid w:val="00B564D1"/>
    <w:rsid w:val="00B9770E"/>
    <w:rsid w:val="00C033C2"/>
    <w:rsid w:val="00C25F66"/>
    <w:rsid w:val="00C31C57"/>
    <w:rsid w:val="00C3750F"/>
    <w:rsid w:val="00C4526C"/>
    <w:rsid w:val="00CE0E9C"/>
    <w:rsid w:val="00CF1BC0"/>
    <w:rsid w:val="00D11A14"/>
    <w:rsid w:val="00D53761"/>
    <w:rsid w:val="00D73280"/>
    <w:rsid w:val="00DC458A"/>
    <w:rsid w:val="00DE024E"/>
    <w:rsid w:val="00DF7998"/>
    <w:rsid w:val="00E30B2E"/>
    <w:rsid w:val="00E45E61"/>
    <w:rsid w:val="00E70F53"/>
    <w:rsid w:val="00EB1010"/>
    <w:rsid w:val="00ED3FD4"/>
    <w:rsid w:val="00EF5194"/>
    <w:rsid w:val="00F30CEA"/>
    <w:rsid w:val="00F54597"/>
    <w:rsid w:val="00FC4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2BCBA-8C87-4024-8298-CD68F387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8271</Words>
  <Characters>47145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2018-07-30T12:17:00Z</dcterms:created>
  <dcterms:modified xsi:type="dcterms:W3CDTF">2018-07-30T12:17:00Z</dcterms:modified>
</cp:coreProperties>
</file>